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b/>
          <w:i w:val="0"/>
        </w:rPr>
        <w:t>INSTITUTO FEDERAL DE EDUCAÇÃO, CIÊNCIA E TECNOLOGIA DA BAHIA</w:t>
      </w:r>
    </w:p>
    <w:p>
      <w:pPr>
        <w:spacing w:line="360" w:lineRule="auto" w:before="0" w:after="0"/>
        <w:ind w:firstLine="0"/>
        <w:jc w:val="center"/>
      </w:pPr>
      <w:r>
        <w:rPr>
          <w:b/>
          <w:i w:val="0"/>
        </w:rPr>
        <w:t>CAMPUS LAURO DE FREITAS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RIAN DAVID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STEPHANIE ANGELE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MURILO LIMA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MATHEUS LUIGI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/>
          <w:i w:val="0"/>
        </w:rPr>
        <w:t>APAGÃO DE 19 DE JANEIRO DE 2015: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análise da perturbação no Sistema Interligado Nacional à luz dos Sistemas Elétricos de Potência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LAURO DE FREITAS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2026</w:t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RIAN DAVID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STEPHANIE ANGELE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MURILO LIMA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MATHEUS LUIGI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/>
          <w:i w:val="0"/>
        </w:rPr>
        <w:t>APAGÃO DE 19 DE JANEIRO DE 2015: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análise da perturbação no Sistema Interligado Nacional à luz dos Sistemas Elétricos de Potência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240" w:lineRule="auto" w:before="0" w:after="0"/>
        <w:ind w:firstLine="0" w:left="4535"/>
        <w:jc w:val="both"/>
      </w:pPr>
      <w:r>
        <w:rPr>
          <w:b w:val="0"/>
          <w:i w:val="0"/>
        </w:rPr>
        <w:t>Relatório técnico apresentado à disciplina Sistemas Elétricos de Potência, do 6º semestre, do Instituto Federal de Educação, Ciência e Tecnologia da Bahia, Campus Lauro de Freitas, como requisito parcial de avaliação.</w:t>
      </w:r>
    </w:p>
    <w:p>
      <w:pPr>
        <w:spacing w:line="360" w:lineRule="auto" w:before="0" w:after="0"/>
        <w:ind w:firstLine="0"/>
        <w:jc w:val="both"/>
      </w:pPr>
    </w:p>
    <w:p>
      <w:pPr>
        <w:spacing w:line="240" w:lineRule="auto" w:before="0" w:after="0"/>
        <w:ind w:firstLine="0" w:left="4535"/>
        <w:jc w:val="both"/>
      </w:pPr>
      <w:r>
        <w:rPr>
          <w:b w:val="0"/>
          <w:i w:val="0"/>
        </w:rPr>
        <w:t>Professor: Jorge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LAURO DE FREITAS</w:t>
      </w:r>
    </w:p>
    <w:p>
      <w:pPr>
        <w:spacing w:line="360" w:lineRule="auto" w:before="0" w:after="0"/>
        <w:ind w:firstLine="0"/>
        <w:jc w:val="center"/>
      </w:pPr>
      <w:r>
        <w:rPr>
          <w:b w:val="0"/>
          <w:i w:val="0"/>
        </w:rPr>
        <w:t>2026</w:t>
      </w:r>
    </w:p>
    <w:p>
      <w:pPr>
        <w:pageBreakBefore/>
        <w:spacing w:line="360" w:lineRule="auto" w:before="0" w:after="360"/>
        <w:ind w:firstLine="0"/>
        <w:jc w:val="center"/>
      </w:pPr>
      <w:r>
        <w:rPr>
          <w:b/>
          <w:i w:val="0"/>
        </w:rPr>
        <w:t>RESUMO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</w:rPr>
        <w:t>Em 19 de janeiro de 2015, às 14h55, uma restrição na transferência de energia das regiões Norte e Nordeste para o Sudeste, somada à demanda elevada de um dia de calor intenso, provocou a queda da frequência do Sistema Interligado Nacional (SIN) para cerca de 59 Hz. Onze unidades geradoras, somando 2.200 MW, foram desligadas, e o Operador Nacional do Sistema Elétrico (ONS) promoveu corte de carga inferior a 5% da carga do sistema, atingindo consumidores em ao menos 11 estados e no Distrito Federal. O sistema foi considerado normalizado às 15h45. Este relatório descreve a ocorrência e a analisa com os conceitos de Sistemas Elétricos de Potência: balanço entre geração e carga, estabilidade de frequência, regulação primária e secundária, limites de intercâmbio entre subsistemas, compensação reativa série e esquemas de alívio de carga. Conclui-se que o evento foi um problema de transmissão que se manifestou como um problema de frequência, e que o corte controlado de carga evitou um colapso de maior extensão.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  <w:r>
        <w:rPr>
          <w:b/>
          <w:i w:val="0"/>
        </w:rPr>
        <w:t>Palavras-chave:</w:t>
      </w:r>
      <w:r>
        <w:rPr>
          <w:b w:val="0"/>
          <w:i w:val="0"/>
        </w:rPr>
        <w:t xml:space="preserve"> Sistema Interligado Nacional; estabilidade de frequência; intercâmbio entre subsistemas; alívio de carga.</w:t>
      </w:r>
    </w:p>
    <w:p>
      <w:pPr>
        <w:pageBreakBefore/>
        <w:spacing w:line="360" w:lineRule="auto" w:before="0" w:after="360"/>
        <w:ind w:firstLine="0"/>
        <w:jc w:val="center"/>
      </w:pPr>
      <w:r>
        <w:rPr>
          <w:b/>
          <w:i w:val="0"/>
        </w:rPr>
        <w:t>SUMÁRIO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1</w:t>
        <w:tab/>
        <w:t>INTRODUÇÃO</w:t>
        <w:tab/>
        <w:t>4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2</w:t>
        <w:tab/>
        <w:t>FUNDAMENTAÇÃO TEÓRICA</w:t>
        <w:tab/>
        <w:t>5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2.1</w:t>
        <w:tab/>
        <w:t>ESTRUTURA DO SIN</w:t>
        <w:tab/>
        <w:t>5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2.2</w:t>
        <w:tab/>
        <w:t>BALANÇO DE POTÊNCIA E FREQUÊNCIA</w:t>
        <w:tab/>
        <w:t>5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2.3</w:t>
        <w:tab/>
        <w:t>REGULAÇÃO PRIMÁRIA E SECUNDÁRIA</w:t>
        <w:tab/>
        <w:t>5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2.4</w:t>
        <w:tab/>
        <w:t>LIMITES DE TRANSMISSÃO E COMPENSAÇÃO REATIVA</w:t>
        <w:tab/>
        <w:t>6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2.5</w:t>
        <w:tab/>
        <w:t>ESQUEMAS DE ALÍVIO DE CARGA</w:t>
        <w:tab/>
        <w:t>6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3</w:t>
        <w:tab/>
        <w:t>DESCRIÇÃO DA OCORRÊNCIA</w:t>
        <w:tab/>
        <w:t>7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4</w:t>
        <w:tab/>
        <w:t>ANÁLISE TÉCNICA</w:t>
        <w:tab/>
        <w:t>8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4.1</w:t>
        <w:tab/>
        <w:t>REDUÇÃO DA CAPACIDADE DE INTERCÂMBIO</w:t>
        <w:tab/>
        <w:t>8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4.2</w:t>
        <w:tab/>
        <w:t>DÉFICIT DE POTÊNCIA NO SUDESTE/CENTRO-OESTE</w:t>
        <w:tab/>
        <w:t>8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4.3</w:t>
        <w:tab/>
        <w:t>QUEDA DE FREQUÊNCIA E DESLIGAMENTO DE UNIDADES</w:t>
        <w:tab/>
        <w:t>8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4.4</w:t>
        <w:tab/>
        <w:t>ATUAÇÃO DO CORTE DE CARGA</w:t>
        <w:tab/>
        <w:t>9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 w:val="0"/>
        </w:rPr>
        <w:t>4.5</w:t>
        <w:tab/>
        <w:t>FATORES DE CONTEXTO</w:t>
        <w:tab/>
        <w:t>9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5</w:t>
        <w:tab/>
        <w:t>CONSEQUÊNCIAS</w:t>
        <w:tab/>
        <w:t>10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6</w:t>
        <w:tab/>
        <w:t>MEDIDAS E RECOMENDAÇÕES</w:t>
        <w:tab/>
        <w:t>11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7</w:t>
        <w:tab/>
        <w:t>CONCLUSÃO</w:t>
        <w:tab/>
        <w:t>12</w:t>
      </w:r>
    </w:p>
    <w:p>
      <w:pPr>
        <w:tabs>
          <w:tab w:pos="850" w:val="left"/>
          <w:tab w:pos="9071" w:val="right" w:leader="dot"/>
        </w:tabs>
        <w:ind w:firstLine="0"/>
      </w:pPr>
      <w:r>
        <w:rPr>
          <w:b/>
        </w:rPr>
        <w:t>REFERÊNCIAS</w:t>
        <w:tab/>
        <w:t>13</w:t>
      </w:r>
    </w:p>
    <w:p>
      <w:pPr>
        <w:sectPr>
          <w:pgSz w:w="11906" w:h="16838"/>
          <w:pgMar w:top="1701" w:right="1134" w:bottom="1134" w:left="1701" w:header="1134" w:footer="720" w:gutter="0"/>
          <w:cols w:space="720"/>
          <w:docGrid w:linePitch="360"/>
          <w:pgNumType w:start="1"/>
        </w:sectPr>
      </w:pPr>
    </w:p>
    <w:p>
      <w:pPr>
        <w:keepNext/>
        <w:spacing w:line="360" w:lineRule="auto" w:before="0" w:after="360"/>
        <w:ind w:firstLine="0"/>
        <w:jc w:val="left"/>
      </w:pPr>
      <w:r>
        <w:rPr>
          <w:b/>
          <w:i w:val="0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Um sistema elétrico de potência só opera de forma estável enquanto a potência gerada acompanha, a cada instante, a potência consumida somada às perdas. A ocorrência de 19 de janeiro de 2015 é um caso real em que esse equilíbrio foi rompido em um subsistema, o que a torna adequada para estudar, na prática, os conteúdos tratados na disciplina.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O Brasil apresenta uma particularidade que torna o caso relevante: grande parte da geração é hidrelétrica e está distante dos centros de carga, ligada a eles por troncos de transmissão de centenas a milhares de quilômetros. Quando um desses troncos perde capacidade, a carga do Sudeste deixa de ser atendida pelas usinas do Norte, mesmo que exista geração disponível no país.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Este relatório tem como objetivos: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a) descrever a ocorrência com base nas informações divulgadas pelo ONS, pelo Ministério de Minas e Energia e pela imprensa da época;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b) explicar o mecanismo físico do evento por meio dos conceitos de estabilidade de frequência e controle carga-frequência;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c) relacionar as falhas apontadas com os limites de transmissão e com a compensação de reativos;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d) discutir as medidas de proteção e de planejamento que reduzem o risco de eventos semelhantes.</w:t>
      </w:r>
    </w:p>
    <w:p>
      <w:pPr>
        <w:keepNext/>
        <w:pageBreakBefore/>
        <w:spacing w:line="360" w:lineRule="auto" w:before="0" w:after="360"/>
        <w:ind w:firstLine="0"/>
        <w:jc w:val="left"/>
      </w:pPr>
      <w:r>
        <w:rPr>
          <w:b/>
          <w:i w:val="0"/>
        </w:rPr>
        <w:t>2 FUNDAMENTAÇÃO TEÓRICA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2.1 ESTRUTURA DO SIN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O Sistema Interligado Nacional é dividido em subsistemas (Sul, Sudeste/Centro-Oeste, Nordeste e Norte) conectados por interligações de alta e extra-alta tensão. A interligação Norte-Sul permite que a energia das usinas da bacia do Tocantins e da região Norte abasteça o Sudeste, maior centro de carga do país. A operação em tempo real é coordenada pelo ONS, que define, entre outros parâmetros, os limites de intercâmbio entre subsistemas.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2.2 BALANÇO DE POTÊNCIA E FREQUÊNCIA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frequência elétrica é imposta pela velocidade dos geradores síncronos. Quando a carga supera a potência mecânica entregue pelas turbinas, a diferença é suprida pela energia cinética das massas girantes, e as máquinas desaceleram. A equação de oscilação descreve esse comportamento para um sistema equivalente (KUNDUR, 1994):</w:t>
      </w:r>
    </w:p>
    <w:p>
      <w:pPr>
        <w:tabs>
          <w:tab w:pos="4535" w:val="center"/>
          <w:tab w:pos="9071" w:val="right"/>
        </w:tabs>
        <w:spacing w:before="120" w:after="120"/>
        <w:ind w:firstLine="0"/>
      </w:pPr>
      <w:r>
        <w:tab/>
      </w:r>
      <w:r>
        <w:rPr>
          <w:b w:val="0"/>
          <w:i w:val="0"/>
        </w:rPr>
        <w:t>(2</w:t>
      </w:r>
      <w:r>
        <w:rPr>
          <w:b w:val="0"/>
          <w:i/>
        </w:rPr>
        <w:t>H</w:t>
      </w:r>
      <w:r>
        <w:rPr>
          <w:b w:val="0"/>
          <w:i w:val="0"/>
        </w:rPr>
        <w:t xml:space="preserve"> / </w:t>
      </w:r>
      <w:r>
        <w:rPr>
          <w:b w:val="0"/>
          <w:i/>
        </w:rPr>
        <w:t>f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>) · (d</w:t>
      </w:r>
      <w:r>
        <w:rPr>
          <w:b w:val="0"/>
          <w:i/>
        </w:rPr>
        <w:t>f</w:t>
      </w:r>
      <w:r>
        <w:rPr>
          <w:b w:val="0"/>
          <w:i w:val="0"/>
        </w:rPr>
        <w:t xml:space="preserve"> / d</w:t>
      </w:r>
      <w:r>
        <w:rPr>
          <w:b w:val="0"/>
          <w:i/>
        </w:rPr>
        <w:t>t</w:t>
      </w:r>
      <w:r>
        <w:rPr>
          <w:b w:val="0"/>
          <w:i w:val="0"/>
        </w:rPr>
        <w:t xml:space="preserve">) = 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m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e</w:t>
      </w:r>
      <w:r>
        <w:tab/>
        <w:t>(1)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</w:rPr>
        <w:t xml:space="preserve">em que </w:t>
      </w:r>
      <w:r>
        <w:rPr>
          <w:b w:val="0"/>
          <w:i/>
        </w:rPr>
        <w:t>H</w:t>
      </w:r>
      <w:r>
        <w:rPr>
          <w:b w:val="0"/>
          <w:i w:val="0"/>
        </w:rPr>
        <w:t xml:space="preserve"> é a constante de inércia, em segundos; </w:t>
      </w:r>
      <w:r>
        <w:rPr>
          <w:b w:val="0"/>
          <w:i/>
        </w:rPr>
        <w:t>f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é a frequência nominal, de 60 Hz; 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m</w:t>
      </w:r>
      <w:r>
        <w:rPr>
          <w:b w:val="0"/>
          <w:i w:val="0"/>
        </w:rPr>
        <w:t xml:space="preserve"> é a potência mecânica; e 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e</w:t>
      </w:r>
      <w:r>
        <w:rPr>
          <w:b w:val="0"/>
          <w:i w:val="0"/>
        </w:rPr>
        <w:t xml:space="preserve"> é a potência elétrica, ambas em pu na base do sistema. Logo após um déficit de geração Δ</w:t>
      </w:r>
      <w:r>
        <w:rPr>
          <w:b w:val="0"/>
          <w:i/>
        </w:rPr>
        <w:t>P</w:t>
      </w:r>
      <w:r>
        <w:rPr>
          <w:b w:val="0"/>
          <w:i w:val="0"/>
        </w:rPr>
        <w:t>, a taxa de variação da frequência vale aproximadamente:</w:t>
      </w:r>
    </w:p>
    <w:p>
      <w:pPr>
        <w:tabs>
          <w:tab w:pos="4535" w:val="center"/>
          <w:tab w:pos="9071" w:val="right"/>
        </w:tabs>
        <w:spacing w:before="120" w:after="120"/>
        <w:ind w:firstLine="0"/>
      </w:pPr>
      <w:r>
        <w:tab/>
      </w:r>
      <w:r>
        <w:rPr>
          <w:b w:val="0"/>
          <w:i w:val="0"/>
        </w:rPr>
        <w:t>d</w:t>
      </w:r>
      <w:r>
        <w:rPr>
          <w:b w:val="0"/>
          <w:i/>
        </w:rPr>
        <w:t>f</w:t>
      </w:r>
      <w:r>
        <w:rPr>
          <w:b w:val="0"/>
          <w:i w:val="0"/>
        </w:rPr>
        <w:t xml:space="preserve"> / d</w:t>
      </w:r>
      <w:r>
        <w:rPr>
          <w:b w:val="0"/>
          <w:i/>
        </w:rPr>
        <w:t>t</w:t>
      </w:r>
      <w:r>
        <w:rPr>
          <w:b w:val="0"/>
          <w:i w:val="0"/>
        </w:rPr>
        <w:t xml:space="preserve"> ≈ −(Δ</w:t>
      </w:r>
      <w:r>
        <w:rPr>
          <w:b w:val="0"/>
          <w:i/>
        </w:rPr>
        <w:t>P</w:t>
      </w:r>
      <w:r>
        <w:rPr>
          <w:b w:val="0"/>
          <w:i w:val="0"/>
        </w:rPr>
        <w:t xml:space="preserve"> · </w:t>
      </w:r>
      <w:r>
        <w:rPr>
          <w:b w:val="0"/>
          <w:i/>
        </w:rPr>
        <w:t>f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>) / 2</w:t>
      </w:r>
      <w:r>
        <w:rPr>
          <w:b w:val="0"/>
          <w:i/>
        </w:rPr>
        <w:t>H</w:t>
      </w:r>
      <w:r>
        <w:tab/>
        <w:t>(2)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</w:rPr>
        <w:t>Assim, quanto menor a inércia do subsistema que fica isolado do restante, mais rápida é a queda da frequência.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2.3 REGULAÇÃO PRIMÁRIA E SECUNDÁRIA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 xml:space="preserve">Os reguladores de velocidade das usinas respondem à queda de frequência aumentando a potência mecânica, conforme o estatismo </w:t>
      </w:r>
      <w:r>
        <w:rPr>
          <w:b w:val="0"/>
          <w:i/>
        </w:rPr>
        <w:t>R</w:t>
      </w:r>
      <w:r>
        <w:rPr>
          <w:b w:val="0"/>
          <w:i w:val="0"/>
        </w:rPr>
        <w:t xml:space="preserve">. Considerando também o amortecimento da carga </w:t>
      </w:r>
      <w:r>
        <w:rPr>
          <w:b w:val="0"/>
          <w:i/>
        </w:rPr>
        <w:t>D</w:t>
      </w:r>
      <w:r>
        <w:rPr>
          <w:b w:val="0"/>
          <w:i w:val="0"/>
        </w:rPr>
        <w:t>, o desvio de frequência em regime permanente após a regulação primária é dado por (KUNDUR, 1994):</w:t>
      </w:r>
    </w:p>
    <w:p>
      <w:pPr>
        <w:tabs>
          <w:tab w:pos="4535" w:val="center"/>
          <w:tab w:pos="9071" w:val="right"/>
        </w:tabs>
        <w:spacing w:before="120" w:after="120"/>
        <w:ind w:firstLine="0"/>
      </w:pPr>
      <w:r>
        <w:tab/>
      </w:r>
      <w:r>
        <w:rPr>
          <w:b w:val="0"/>
          <w:i w:val="0"/>
        </w:rPr>
        <w:t>Δ</w:t>
      </w:r>
      <w:r>
        <w:rPr>
          <w:b w:val="0"/>
          <w:i/>
        </w:rPr>
        <w:t>f</w:t>
      </w:r>
      <w:r>
        <w:rPr>
          <w:b w:val="0"/>
          <w:i w:val="0"/>
          <w:vertAlign w:val="subscript"/>
        </w:rPr>
        <w:t>ss</w:t>
      </w:r>
      <w:r>
        <w:rPr>
          <w:b w:val="0"/>
          <w:i w:val="0"/>
        </w:rPr>
        <w:t xml:space="preserve"> = −Δ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L</w:t>
      </w:r>
      <w:r>
        <w:rPr>
          <w:b w:val="0"/>
          <w:i w:val="0"/>
        </w:rPr>
        <w:t xml:space="preserve"> / (1/</w:t>
      </w:r>
      <w:r>
        <w:rPr>
          <w:b w:val="0"/>
          <w:i/>
        </w:rPr>
        <w:t>R</w:t>
      </w:r>
      <w:r>
        <w:rPr>
          <w:b w:val="0"/>
          <w:i w:val="0"/>
        </w:rPr>
        <w:t xml:space="preserve"> + </w:t>
      </w:r>
      <w:r>
        <w:rPr>
          <w:b w:val="0"/>
          <w:i/>
        </w:rPr>
        <w:t>D</w:t>
      </w:r>
      <w:r>
        <w:rPr>
          <w:b w:val="0"/>
          <w:i w:val="0"/>
        </w:rPr>
        <w:t>)</w:t>
      </w:r>
      <w:r>
        <w:tab/>
        <w:t>(3)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regulação primária estabiliza a frequência em um valor abaixo do nominal. O retorno a 60 Hz cabe à regulação secundária, realizada pelo Controle Automático de Geração, desde que exista reserva girante disponível e capacidade de transmissão para levá-la até a carga.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2.4 LIMITES DE TRANSMISSÃO E COMPENSAÇÃO REATIVA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potência ativa transferida por uma linha entre duas barras é dada, de forma simplificada, por (GRAINGER; STEVENSON, 1994):</w:t>
      </w:r>
    </w:p>
    <w:p>
      <w:pPr>
        <w:tabs>
          <w:tab w:pos="4535" w:val="center"/>
          <w:tab w:pos="9071" w:val="right"/>
        </w:tabs>
        <w:spacing w:before="120" w:after="120"/>
        <w:ind w:firstLine="0"/>
      </w:pPr>
      <w:r>
        <w:tab/>
      </w:r>
      <w:r>
        <w:rPr>
          <w:b w:val="0"/>
          <w:i/>
        </w:rPr>
        <w:t>P</w:t>
      </w:r>
      <w:r>
        <w:rPr>
          <w:b w:val="0"/>
          <w:i w:val="0"/>
        </w:rPr>
        <w:t xml:space="preserve"> = (</w:t>
      </w:r>
      <w:r>
        <w:rPr>
          <w:b w:val="0"/>
          <w:i/>
        </w:rPr>
        <w:t>V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· </w:t>
      </w:r>
      <w:r>
        <w:rPr>
          <w:b w:val="0"/>
          <w:i/>
        </w:rPr>
        <w:t>V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/ </w:t>
      </w:r>
      <w:r>
        <w:rPr>
          <w:b w:val="0"/>
          <w:i/>
        </w:rPr>
        <w:t>X</w:t>
      </w:r>
      <w:r>
        <w:rPr>
          <w:b w:val="0"/>
          <w:i w:val="0"/>
        </w:rPr>
        <w:t xml:space="preserve">) · sen </w:t>
      </w:r>
      <w:r>
        <w:rPr>
          <w:b w:val="0"/>
          <w:i/>
        </w:rPr>
        <w:t>δ</w:t>
      </w:r>
      <w:r>
        <w:tab/>
        <w:t>(4)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</w:rPr>
        <w:t xml:space="preserve">em que </w:t>
      </w:r>
      <w:r>
        <w:rPr>
          <w:b w:val="0"/>
          <w:i/>
        </w:rPr>
        <w:t>X</w:t>
      </w:r>
      <w:r>
        <w:rPr>
          <w:b w:val="0"/>
          <w:i w:val="0"/>
        </w:rPr>
        <w:t xml:space="preserve"> é a reatância série da linha e </w:t>
      </w:r>
      <w:r>
        <w:rPr>
          <w:b w:val="0"/>
          <w:i/>
        </w:rPr>
        <w:t>δ</w:t>
      </w:r>
      <w:r>
        <w:rPr>
          <w:b w:val="0"/>
          <w:i w:val="0"/>
        </w:rPr>
        <w:t xml:space="preserve"> é o ângulo entre as tensões das barras. Linhas longas possuem </w:t>
      </w:r>
      <w:r>
        <w:rPr>
          <w:b w:val="0"/>
          <w:i/>
        </w:rPr>
        <w:t>X</w:t>
      </w:r>
      <w:r>
        <w:rPr>
          <w:b w:val="0"/>
          <w:i w:val="0"/>
        </w:rPr>
        <w:t xml:space="preserve"> elevado, o que limita a transferência. Bancos de capacitores série reduzem a reatância efetiva da linha e aumentam a capacidade de transmissão e a margem de estabilidade. Com esses bancos fora de serviço, o operador precisa reduzir o fluxo permitido para manter a segurança do sistema.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2.5 ESQUEMAS DE ALÍVIO DE CARGA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Quando a regulação não consegue conter a queda, relés de subfrequência desligam blocos de carga em estágios. No SIN, essa função é exercida pelo Esquema Regional de Alívio de Carga (ERAC). O objetivo é sacrificar uma parte da carga para preservar a integridade do sistema e evitar o desligamento em cascata das unidades geradoras, que possuem proteções próprias de subfrequência para evitar danos às turbinas.</w:t>
      </w:r>
    </w:p>
    <w:p>
      <w:pPr>
        <w:keepNext/>
        <w:pageBreakBefore/>
        <w:spacing w:line="360" w:lineRule="auto" w:before="0" w:after="360"/>
        <w:ind w:firstLine="0"/>
        <w:jc w:val="left"/>
      </w:pPr>
      <w:r>
        <w:rPr>
          <w:b/>
          <w:i w:val="0"/>
        </w:rPr>
        <w:t>3 DESCRIÇÃO DA OCORRÊNCIA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perturbação ocorreu em uma segunda-feira de calor intenso, no horário de demanda elevada da tarde, e durou cerca de 50 minutos até a normalização declarada pelo ONS. O Quadro 1 apresenta a sequência de eventos.</w:t>
      </w:r>
    </w:p>
    <w:p>
      <w:pPr>
        <w:keepNext/>
        <w:spacing w:line="240" w:lineRule="auto" w:before="240" w:after="120"/>
        <w:ind w:firstLine="0"/>
        <w:jc w:val="center"/>
      </w:pPr>
      <w:r>
        <w:rPr>
          <w:b w:val="0"/>
          <w:i w:val="0"/>
          <w:sz w:val="20"/>
        </w:rPr>
        <w:t>Quadro 1 – Sequência de eventos da perturbação de 19 de janeiro de 2015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1984"/>
      </w:tblGrid>
      <w:tr>
        <w:trPr>
          <w:tblHeader w:val="true"/>
          <w:tblHeader w:val="true"/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Momento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Evento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Fonte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Antes de 14h55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Demanda alta no Sudeste/Centro-Oeste e restrição na transferência de energia do Norte e Nordeste para o Sudeste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RESTRIÇÕES..., 2015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14h55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Queda da frequência para cerca de 59 Hz e início da falta de energia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RESTRIÇÕES..., 2015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Logo após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Desligamento de 11 unidades geradoras (8 no Sudeste, 2 no Centro-Oeste e 1 no Sul), totalizando 2.200 MW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11 ESTADOS..., 2015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Logo após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Corte de carga inferior a 5% da carga do sistema, com cortes em ao menos 11 estados e no DF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11 ESTADOS..., 2015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15h45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ONS declara a situação normalizada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RESTRIÇÕES..., 2015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30/01/2015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O ministro Eduardo Braga atribui parte do problema a bancos de capacitores da interligação Norte-Sul que estavam fora de operação e já haviam falhado em outubro e dezembro de 2014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MINISTRO..., 2015</w:t>
            </w:r>
          </w:p>
        </w:tc>
      </w:tr>
    </w:tbl>
    <w:p>
      <w:pPr>
        <w:spacing w:line="240" w:lineRule="auto" w:before="120" w:after="240"/>
        <w:ind w:firstLine="0"/>
        <w:jc w:val="left"/>
      </w:pPr>
      <w:r>
        <w:rPr>
          <w:b w:val="0"/>
          <w:i w:val="0"/>
          <w:sz w:val="20"/>
        </w:rPr>
        <w:t>Fonte: elaborado pelos autores (2026), com base nas fontes indicadas.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Entre os estados citados pela imprensa estão São Paulo, Rio de Janeiro, Minas Gerais, Espírito Santo, Paraná, Santa Catarina, Rio Grande do Sul e Goiás, além do Distrito Federal. Em algumas localidades a recomposição demorou mais que o horário oficial, com relatos de até duas horas sem energia (11 ESTADOS..., 2015).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Segundo o ONS, havia geração suficiente no SIN no momento do evento, e o problema foi a impossibilidade de transferir essa energia até a carga do Sudeste (RESTRIÇÕES..., 2015). Especialistas ouvidos pela imprensa também apontaram reserva girante insuficiente (INSTITUTO ACENDE BRASIL, 2015).</w:t>
      </w:r>
    </w:p>
    <w:p>
      <w:pPr>
        <w:keepNext/>
        <w:pageBreakBefore/>
        <w:spacing w:line="360" w:lineRule="auto" w:before="0" w:after="360"/>
        <w:ind w:firstLine="0"/>
        <w:jc w:val="left"/>
      </w:pPr>
      <w:r>
        <w:rPr>
          <w:b/>
          <w:i w:val="0"/>
        </w:rPr>
        <w:t>4 ANÁLISE TÉCNICA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O evento foi um problema de transmissão que se manifestou como um problema de frequência: a geração existia, mas estava do lado errado de um gargalo. A Figura 1 resume a cadeia de eventos.</w:t>
      </w:r>
    </w:p>
    <w:p>
      <w:pPr>
        <w:keepNext/>
        <w:spacing w:line="240" w:lineRule="auto" w:before="240" w:after="120"/>
        <w:ind w:firstLine="0"/>
        <w:jc w:val="center"/>
      </w:pPr>
      <w:r>
        <w:rPr>
          <w:b w:val="0"/>
          <w:i w:val="0"/>
          <w:sz w:val="20"/>
        </w:rPr>
        <w:t>Figura 1 – Cadeia de eventos da perturbação de 19 de janeiro de 2015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5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Docs-blob-1792403424836-rkafo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40"/>
        <w:ind w:firstLine="0"/>
        <w:jc w:val="left"/>
      </w:pPr>
      <w:r>
        <w:rPr>
          <w:b w:val="0"/>
          <w:i w:val="0"/>
          <w:sz w:val="20"/>
        </w:rPr>
        <w:t>Fonte: elaborado pelos autores (2026).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4.1 REDUÇÃO DA CAPACIDADE DE INTERCÂMBIO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Com os bancos de capacitores da interligação Norte-Sul fora de serviço, a reatância efetiva da linha aumenta. Pela Equação (4), para o mesmo ângulo de carga a potência transferível diminui, assim como a margem de estabilidade angular. O operador é obrigado a reduzir o limite de intercâmbio, e o Sudeste passa a depender mais da geração local.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4.2 DÉFICIT DE POTÊNCIA NO SUDESTE/CENTRO-OESTE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No pico da tarde, com aparelhos de ar-condicionado e refrigeração em uso intenso, a carga do subsistema Sudeste/Centro-Oeste superou o que a geração local, somada à importação limitada, conseguia suprir. Pela Equação (1), esse déficit faz as máquinas desacelerarem, e a frequência cai.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4.3 QUEDA DE FREQUÊNCIA E DESLIGAMENTO DE UNIDADES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frequência chegou a cerca de 59 Hz, um desvio de aproximadamente 1,7% em relação ao valor nominal. As proteções de 11 unidades geradoras atuaram, retirando 2.200 MW do sistema. Esse é o ponto crítico do evento: cada máquina que sai aumenta o déficit Δ</w:t>
      </w:r>
      <w:r>
        <w:rPr>
          <w:b w:val="0"/>
          <w:i/>
        </w:rPr>
        <w:t>P</w:t>
      </w:r>
      <w:r>
        <w:rPr>
          <w:b w:val="0"/>
          <w:i w:val="0"/>
        </w:rPr>
        <w:t xml:space="preserve"> e acelera a queda, como mostra a Equação (2), o que pode levar a um colapso em cascata.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4.4 ATUAÇÃO DO CORTE DE CARGA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 xml:space="preserve">O corte de menos de 5% da carga do sistema reduziu 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e</w:t>
      </w:r>
      <w:r>
        <w:rPr>
          <w:b w:val="0"/>
          <w:i w:val="0"/>
        </w:rPr>
        <w:t xml:space="preserve"> até que 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m</w:t>
      </w:r>
      <w:r>
        <w:rPr>
          <w:b w:val="0"/>
          <w:i w:val="0"/>
        </w:rPr>
        <w:t xml:space="preserve"> voltasse a ser suficiente, interrompendo a queda. Em termos da Equação (3), o corte equivale a reduzir Δ</w:t>
      </w:r>
      <w:r>
        <w:rPr>
          <w:b w:val="0"/>
          <w:i/>
        </w:rPr>
        <w:t>P</w:t>
      </w:r>
      <w:r>
        <w:rPr>
          <w:b w:val="0"/>
          <w:i w:val="0"/>
          <w:vertAlign w:val="subscript"/>
        </w:rPr>
        <w:t>L</w:t>
      </w:r>
      <w:r>
        <w:rPr>
          <w:b w:val="0"/>
          <w:i w:val="0"/>
        </w:rPr>
        <w:t>, o que diminui o desvio de frequência em regime e permite que a regulação secundária conduza o sistema de volta a 60 Hz. O custo foi a interrupção do fornecimento para parte dos consumidores, mas o SIN como um todo foi preservado.</w:t>
      </w:r>
    </w:p>
    <w:p>
      <w:pPr>
        <w:keepNext/>
        <w:spacing w:line="360" w:lineRule="auto" w:before="360" w:after="360"/>
        <w:ind w:firstLine="0"/>
        <w:jc w:val="left"/>
      </w:pPr>
      <w:r>
        <w:rPr>
          <w:b w:val="0"/>
          <w:i w:val="0"/>
        </w:rPr>
        <w:t>4.5 FATORES DE CONTEXTO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crise hídrica de 2014 e 2015 mantinha os reservatórios do Sudeste em níveis baixos e o sistema com menos folga operativa. O ONS tratou o evento como um problema de transmissão, e não de falta de energia, mas a menor folga reduz a reserva disponível para responder a perturbações como esta.</w:t>
      </w:r>
    </w:p>
    <w:p>
      <w:pPr>
        <w:keepNext/>
        <w:pageBreakBefore/>
        <w:spacing w:line="360" w:lineRule="auto" w:before="0" w:after="360"/>
        <w:ind w:firstLine="0"/>
        <w:jc w:val="left"/>
      </w:pPr>
      <w:r>
        <w:rPr>
          <w:b/>
          <w:i w:val="0"/>
        </w:rPr>
        <w:t>5 CONSEQUÊNCIAS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O corte atingiu consumidores residenciais, comerciais e industriais de ao menos 11 estados e do Distrito Federal por cerca de 50 minutos, período mais longo em algumas localidades. Os principais efeitos foram: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a) nos serviços urbanos: semáforos, transporte sobre trilhos, elevadores e bombeamento de água dependem diretamente da rede de distribuição;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b) na atividade econômica: interrupção de processos industriais, de caixas e sistemas de pagamento no comércio, além de risco para produtos refrigerados;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c) nos serviços essenciais: hospitais e centros de dados passaram a depender de geradores de emergência;</w:t>
      </w:r>
    </w:p>
    <w:p>
      <w:pPr>
        <w:spacing w:line="360" w:lineRule="auto" w:before="0" w:after="0"/>
        <w:ind w:left="709" w:firstLine="0"/>
        <w:jc w:val="both"/>
      </w:pPr>
      <w:r>
        <w:rPr>
          <w:b w:val="0"/>
          <w:i w:val="0"/>
        </w:rPr>
        <w:t>d) no setor elétrico: o evento intensificou o debate sobre a segurança do suprimento em um ano de crise hídrica, uso intenso de termelétricas e início das bandeiras tarifárias, e reacendeu a lembrança do racionamento de 2001.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Não foram encontrados, nas fontes consultadas, valores oficiais de prejuízo econômico ou de número de consumidores afetados.</w:t>
      </w:r>
    </w:p>
    <w:p>
      <w:pPr>
        <w:keepNext/>
        <w:pageBreakBefore/>
        <w:spacing w:line="360" w:lineRule="auto" w:before="0" w:after="360"/>
        <w:ind w:firstLine="0"/>
        <w:jc w:val="left"/>
      </w:pPr>
      <w:r>
        <w:rPr>
          <w:b/>
          <w:i w:val="0"/>
        </w:rPr>
        <w:t>6 MEDIDAS E RECOMENDAÇÕES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As medidas imediatas foram o corte controlado de carga e a recomposição gradual pelas distribuidoras, seguidos de investigação pelo ONS e pelo Ministério de Minas e Energia. Do ponto de vista de Sistemas Elétricos de Potência, as lições se organizam em quatro frentes, apresentadas no Quadro 2.</w:t>
      </w:r>
    </w:p>
    <w:p>
      <w:pPr>
        <w:keepNext/>
        <w:spacing w:line="240" w:lineRule="auto" w:before="240" w:after="120"/>
        <w:ind w:firstLine="0"/>
        <w:jc w:val="center"/>
      </w:pPr>
      <w:r>
        <w:rPr>
          <w:b w:val="0"/>
          <w:i w:val="0"/>
          <w:sz w:val="20"/>
        </w:rPr>
        <w:t>Quadro 2 – Medidas recomendadas e sua relação com a disciplina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3628"/>
      </w:tblGrid>
      <w:tr>
        <w:trPr>
          <w:tblHeader w:val="true"/>
          <w:tblHeader w:val="true"/>
          <w:tblHeader w:val="true"/>
        </w:trPr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Frente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Medida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Relação com a disciplina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Transmissão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Ampliar a capacidade das interligações e criar caminhos alternativos entre subsistemas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Reduz a dependência de um único tronco e aumenta os limites de intercâmbio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Manutenção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Tratar com prioridade equipamentos com falhas recorrentes, como os bancos de capacitores série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Mantém a reatância efetiva baixa e a margem de estabilidade angular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Reserva operativa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Manter reserva girante suficiente e bem distribuída, principalmente nos picos de calor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Garante a resposta da regulação primária e secundária dentro do subsistema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Proteção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Revisar os ajustes do ERAC e a coordenação com as proteções de subfrequência das usinas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Garante que a carga seja cortada antes que as máquinas saiam em cascata</w:t>
            </w:r>
          </w:p>
        </w:tc>
      </w:tr>
    </w:tbl>
    <w:p>
      <w:pPr>
        <w:spacing w:line="240" w:lineRule="auto" w:before="120" w:after="240"/>
        <w:ind w:firstLine="0"/>
        <w:jc w:val="left"/>
      </w:pPr>
      <w:r>
        <w:rPr>
          <w:b w:val="0"/>
          <w:i w:val="0"/>
          <w:sz w:val="20"/>
        </w:rPr>
        <w:t>Fonte: elaborado pelos autores (2026).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No planejamento de longo prazo, a diversificação da matriz com fontes eólica e solar reduz a dependência hidrológica. Essas fontes, porém, são conectadas por inversores e não fornecem inércia síncrona por natureza, o que torna o controle de frequência um tema ainda mais relevante para o SIN atual.</w:t>
      </w:r>
    </w:p>
    <w:p>
      <w:pPr>
        <w:keepNext/>
        <w:pageBreakBefore/>
        <w:spacing w:line="360" w:lineRule="auto" w:before="0" w:after="360"/>
        <w:ind w:firstLine="0"/>
        <w:jc w:val="left"/>
      </w:pPr>
      <w:r>
        <w:rPr>
          <w:b/>
          <w:i w:val="0"/>
        </w:rPr>
        <w:t>7 CONCLUSÃO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O apagão de 19 de janeiro de 2015 mostra que a segurança do suprimento não depende apenas da geração instalada. Havia energia no SIN, mas a perda de capacidade de transmissão na interligação Norte-Sul, em um pico de carga, criou um déficit local de potência que derrubou a frequência e levou ao desligamento de 2.200 MW de geração.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O caso ilustra na prática a equação de oscilação, a limitação da regulação primária, o efeito da compensação série na capacidade de transferência e o papel do alívio de carga como última defesa contra o colapso. O corte de menos de 5% da carga foi uma decisão de proteção correta, pois sacrificou parte dos consumidores para preservar o sistema inteiro.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</w:rPr>
        <w:t>A principal lição para a engenharia é que manutenção, reserva operativa e planejamento da transmissão custam muito menos do que a interrupção de energia para milhões de pessoas.</w:t>
      </w:r>
    </w:p>
    <w:p>
      <w:pPr>
        <w:pageBreakBefore/>
        <w:spacing w:line="360" w:lineRule="auto" w:before="0" w:after="360"/>
        <w:ind w:firstLine="0"/>
        <w:jc w:val="center"/>
      </w:pPr>
      <w:r>
        <w:rPr>
          <w:b/>
          <w:i w:val="0"/>
        </w:rPr>
        <w:t>REFERÊNCIAS</w:t>
      </w:r>
    </w:p>
    <w:p>
      <w:pPr>
        <w:spacing w:line="240" w:lineRule="auto" w:before="0" w:after="240"/>
        <w:ind w:firstLine="0"/>
        <w:jc w:val="left"/>
      </w:pPr>
      <w:r>
        <w:rPr>
          <w:b w:val="0"/>
          <w:i w:val="0"/>
        </w:rPr>
        <w:t xml:space="preserve">11 ESTADOS e DF sofrem com 2 horas de blackout. </w:t>
      </w:r>
      <w:r>
        <w:rPr>
          <w:b/>
          <w:i w:val="0"/>
        </w:rPr>
        <w:t>Diário do Nordeste</w:t>
      </w:r>
      <w:r>
        <w:rPr>
          <w:b w:val="0"/>
          <w:i w:val="0"/>
        </w:rPr>
        <w:t>, Fortaleza, 20 jan. 2015. Disponível em: https://diariodonordeste.verdesmares.com.br/negocios/11-estados-e-df-sofrem-com-2-horas-de-blackout-1.1201375. Acesso em: 19 out. 2026.</w:t>
      </w:r>
    </w:p>
    <w:p>
      <w:pPr>
        <w:spacing w:line="240" w:lineRule="auto" w:before="0" w:after="240"/>
        <w:ind w:firstLine="0"/>
        <w:jc w:val="left"/>
      </w:pPr>
      <w:r>
        <w:rPr>
          <w:b w:val="0"/>
          <w:i w:val="0"/>
        </w:rPr>
        <w:t xml:space="preserve">GRAINGER, J. J.; STEVENSON, W. D. </w:t>
      </w:r>
      <w:r>
        <w:rPr>
          <w:b/>
          <w:i w:val="0"/>
        </w:rPr>
        <w:t>Power system analysis</w:t>
      </w:r>
      <w:r>
        <w:rPr>
          <w:b w:val="0"/>
          <w:i w:val="0"/>
        </w:rPr>
        <w:t>. New York: McGraw-Hill, 1994.</w:t>
      </w:r>
    </w:p>
    <w:p>
      <w:pPr>
        <w:spacing w:line="240" w:lineRule="auto" w:before="0" w:after="240"/>
        <w:ind w:firstLine="0"/>
        <w:jc w:val="left"/>
      </w:pPr>
      <w:r>
        <w:rPr>
          <w:b w:val="0"/>
          <w:i w:val="0"/>
        </w:rPr>
        <w:t xml:space="preserve">INSTITUTO ACENDE BRASIL. </w:t>
      </w:r>
      <w:r>
        <w:rPr>
          <w:b/>
          <w:i w:val="0"/>
        </w:rPr>
        <w:t>Clipping</w:t>
      </w:r>
      <w:r>
        <w:rPr>
          <w:b w:val="0"/>
          <w:i w:val="0"/>
        </w:rPr>
        <w:t>: Jornal da Globo, 21 jan. 2015. São Paulo, 2015. Disponível em: https://acendebrasil.com.br/wp-content/uploads/2020/04/20150121_JornadaGlobo.pdf. Acesso em: 19 out. 2026.</w:t>
      </w:r>
    </w:p>
    <w:p>
      <w:pPr>
        <w:spacing w:line="240" w:lineRule="auto" w:before="0" w:after="240"/>
        <w:ind w:firstLine="0"/>
        <w:jc w:val="left"/>
      </w:pPr>
      <w:r>
        <w:rPr>
          <w:b w:val="0"/>
          <w:i w:val="0"/>
        </w:rPr>
        <w:t xml:space="preserve">KUNDUR, P. </w:t>
      </w:r>
      <w:r>
        <w:rPr>
          <w:b/>
          <w:i w:val="0"/>
        </w:rPr>
        <w:t>Power system stability and control</w:t>
      </w:r>
      <w:r>
        <w:rPr>
          <w:b w:val="0"/>
          <w:i w:val="0"/>
        </w:rPr>
        <w:t>. New York: McGraw-Hill, 1994.</w:t>
      </w:r>
    </w:p>
    <w:p>
      <w:pPr>
        <w:spacing w:line="240" w:lineRule="auto" w:before="0" w:after="240"/>
        <w:ind w:firstLine="0"/>
        <w:jc w:val="left"/>
      </w:pPr>
      <w:r>
        <w:rPr>
          <w:b w:val="0"/>
          <w:i w:val="0"/>
        </w:rPr>
        <w:t xml:space="preserve">MINISTRO diz que falha que causou apagão já ocorrera antes. </w:t>
      </w:r>
      <w:r>
        <w:rPr>
          <w:b/>
          <w:i w:val="0"/>
        </w:rPr>
        <w:t>Olhar Direto</w:t>
      </w:r>
      <w:r>
        <w:rPr>
          <w:b w:val="0"/>
          <w:i w:val="0"/>
        </w:rPr>
        <w:t>, Cuiabá, 30 jan. 2015. Disponível em: https://olhardireto.com.br/noticias/ministro-diz-que-falha-que-causou-apagao-ja-ocorrera-antes. Acesso em: 19 out. 2026.</w:t>
      </w:r>
    </w:p>
    <w:p>
      <w:pPr>
        <w:spacing w:line="240" w:lineRule="auto" w:before="0" w:after="240"/>
        <w:ind w:firstLine="0"/>
        <w:jc w:val="left"/>
      </w:pPr>
      <w:r>
        <w:rPr>
          <w:b w:val="0"/>
          <w:i w:val="0"/>
        </w:rPr>
        <w:t xml:space="preserve">RESTRIÇÕES na transferência causaram falta de luz, diz ONS. </w:t>
      </w:r>
      <w:r>
        <w:rPr>
          <w:b/>
          <w:i w:val="0"/>
        </w:rPr>
        <w:t>Exame</w:t>
      </w:r>
      <w:r>
        <w:rPr>
          <w:b w:val="0"/>
          <w:i w:val="0"/>
        </w:rPr>
        <w:t>, São Paulo, jan. 2015. Disponível em: https://exame.com/brasil/restricoes-na-transferencia-causaram-falta-de-luz-diz-ons. Acesso em: 19 out. 2026.</w:t>
      </w:r>
    </w:p>
    <w:sectPr w:rsidR="00FC693F" w:rsidRPr="0006063C" w:rsidSect="00034616">
      <w:headerReference w:type="default" r:id="rId10"/>
      <w:pgSz w:w="11906" w:h="16838"/>
      <w:pgMar w:top="1701" w:right="1134" w:bottom="1134" w:left="1701" w:header="1134" w:footer="720" w:gutter="0"/>
      <w:cols w:space="720"/>
      <w:docGrid w:linePitch="360"/>
      <w:pgNumType w:start="1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Apagão de 19 de janeiro de 2015</dc:title>
  <dc:subject/>
  <dc:creator>Rian David; Stephanie Angele; Murilo Lima; Matheus Luigi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