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2F1BBF9E" w:rsidR="00C32F9D" w:rsidRPr="001B75DA" w:rsidRDefault="00C20FAC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É</w:t>
      </w:r>
      <w:r w:rsidR="00F6209E">
        <w:rPr>
          <w:rFonts w:ascii="Arial" w:hAnsi="Arial" w:cs="Arial"/>
          <w:b/>
          <w:bCs/>
          <w:sz w:val="24"/>
          <w:szCs w:val="24"/>
        </w:rPr>
        <w:t>TICA</w:t>
      </w:r>
    </w:p>
    <w:p w14:paraId="451B2E72" w14:textId="2D5F9D41" w:rsidR="007D789B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 w:rsidRPr="001B75DA">
        <w:rPr>
          <w:rFonts w:ascii="Arial" w:hAnsi="Arial" w:cs="Arial"/>
          <w:b/>
          <w:bCs/>
          <w:sz w:val="24"/>
          <w:szCs w:val="24"/>
        </w:rPr>
        <w:t>FEJ</w:t>
      </w:r>
      <w:r w:rsidRPr="001B75DA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8CB03FE" w14:textId="7BB0554D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75DA">
        <w:rPr>
          <w:rFonts w:ascii="Arial" w:hAnsi="Arial" w:cs="Arial"/>
          <w:b/>
          <w:bCs/>
          <w:sz w:val="24"/>
          <w:szCs w:val="24"/>
        </w:rPr>
        <w:t>ATIVIDADE 0</w:t>
      </w:r>
      <w:r w:rsidR="00D07B68">
        <w:rPr>
          <w:rFonts w:ascii="Arial" w:hAnsi="Arial" w:cs="Arial"/>
          <w:b/>
          <w:bCs/>
          <w:sz w:val="24"/>
          <w:szCs w:val="24"/>
        </w:rPr>
        <w:t>2</w:t>
      </w:r>
    </w:p>
    <w:p w14:paraId="6DAEDFC2" w14:textId="4F65247A" w:rsidR="00C32F9D" w:rsidRPr="001B75DA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77777777" w:rsidR="007D2AE4" w:rsidRPr="001B75DA" w:rsidRDefault="007D2AE4" w:rsidP="00C32F9D">
      <w:pPr>
        <w:rPr>
          <w:rFonts w:ascii="Arial" w:hAnsi="Arial" w:cs="Arial"/>
          <w:b/>
          <w:bCs/>
          <w:sz w:val="24"/>
          <w:szCs w:val="24"/>
        </w:rPr>
      </w:pPr>
    </w:p>
    <w:p w14:paraId="1AB9BEE7" w14:textId="47737615" w:rsidR="007D2AE4" w:rsidRDefault="00D723DB" w:rsidP="001C7FD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 Análise de caso real</w:t>
      </w:r>
    </w:p>
    <w:p w14:paraId="3385EF87" w14:textId="5D6F470E" w:rsidR="00D723DB" w:rsidRDefault="00D723DB" w:rsidP="001C7FD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1.a Ações que tipificaram o plágio</w:t>
      </w:r>
    </w:p>
    <w:p w14:paraId="3231A803" w14:textId="66FE14A6" w:rsidR="00F100B5" w:rsidRDefault="00D723DB" w:rsidP="00D723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D723DB">
        <w:rPr>
          <w:rFonts w:ascii="Arial" w:hAnsi="Arial" w:cs="Arial"/>
          <w:sz w:val="24"/>
          <w:szCs w:val="24"/>
        </w:rPr>
        <w:t>Os ex-funcionários utilizaram a base estrutural</w:t>
      </w:r>
      <w:r>
        <w:rPr>
          <w:rFonts w:ascii="Arial" w:hAnsi="Arial" w:cs="Arial"/>
          <w:sz w:val="24"/>
          <w:szCs w:val="24"/>
        </w:rPr>
        <w:t xml:space="preserve"> (provavelmente a partir de versionamentos disponíveis do código</w:t>
      </w:r>
      <w:r w:rsidRPr="00D723DB">
        <w:rPr>
          <w:rFonts w:ascii="Arial" w:hAnsi="Arial" w:cs="Arial"/>
          <w:sz w:val="24"/>
          <w:szCs w:val="24"/>
        </w:rPr>
        <w:t xml:space="preserve"> do software</w:t>
      </w:r>
      <w:r>
        <w:rPr>
          <w:rFonts w:ascii="Arial" w:hAnsi="Arial" w:cs="Arial"/>
          <w:sz w:val="24"/>
          <w:szCs w:val="24"/>
        </w:rPr>
        <w:t xml:space="preserve"> a eles)</w:t>
      </w:r>
      <w:r w:rsidRPr="00D723DB">
        <w:rPr>
          <w:rFonts w:ascii="Arial" w:hAnsi="Arial" w:cs="Arial"/>
          <w:sz w:val="24"/>
          <w:szCs w:val="24"/>
        </w:rPr>
        <w:t xml:space="preserve"> desenvolvido pela empresa anterior para criar e comercializar </w:t>
      </w:r>
      <w:r w:rsidR="00F100B5">
        <w:rPr>
          <w:rFonts w:ascii="Arial" w:hAnsi="Arial" w:cs="Arial"/>
          <w:sz w:val="24"/>
          <w:szCs w:val="24"/>
        </w:rPr>
        <w:t xml:space="preserve">um </w:t>
      </w:r>
      <w:r w:rsidRPr="00D723DB">
        <w:rPr>
          <w:rFonts w:ascii="Arial" w:hAnsi="Arial" w:cs="Arial"/>
          <w:sz w:val="24"/>
          <w:szCs w:val="24"/>
        </w:rPr>
        <w:t>produto derivado</w:t>
      </w:r>
      <w:r w:rsidR="00F100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muito semelhante</w:t>
      </w:r>
      <w:r w:rsidRPr="00D723DB">
        <w:rPr>
          <w:rFonts w:ascii="Arial" w:hAnsi="Arial" w:cs="Arial"/>
          <w:sz w:val="24"/>
          <w:szCs w:val="24"/>
        </w:rPr>
        <w:t xml:space="preserve">, sem autorização do titular dos direitos. </w:t>
      </w:r>
    </w:p>
    <w:p w14:paraId="4F1BE51F" w14:textId="4F55BACB" w:rsidR="00F100B5" w:rsidRPr="00F100B5" w:rsidRDefault="00F100B5" w:rsidP="00F100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100B5">
        <w:rPr>
          <w:rFonts w:ascii="Arial" w:hAnsi="Arial" w:cs="Arial"/>
          <w:sz w:val="24"/>
          <w:szCs w:val="24"/>
        </w:rPr>
        <w:t xml:space="preserve">Diferentemente de softwares proprietários, cujo código-fonte é protegido e não pode ser acessado, modificado ou reutilizado sem autorização do titular dos direitos, aplicações </w:t>
      </w:r>
      <w:r w:rsidRPr="00F100B5">
        <w:rPr>
          <w:rFonts w:ascii="Arial" w:hAnsi="Arial" w:cs="Arial"/>
          <w:i/>
          <w:iCs/>
          <w:sz w:val="24"/>
          <w:szCs w:val="24"/>
        </w:rPr>
        <w:t>open</w:t>
      </w:r>
      <w:r w:rsidRPr="00F100B5">
        <w:rPr>
          <w:rFonts w:ascii="Arial" w:hAnsi="Arial" w:cs="Arial"/>
          <w:i/>
          <w:iCs/>
          <w:sz w:val="24"/>
          <w:szCs w:val="24"/>
        </w:rPr>
        <w:t>-</w:t>
      </w:r>
      <w:r w:rsidRPr="00F100B5">
        <w:rPr>
          <w:rFonts w:ascii="Arial" w:hAnsi="Arial" w:cs="Arial"/>
          <w:i/>
          <w:iCs/>
          <w:sz w:val="24"/>
          <w:szCs w:val="24"/>
        </w:rPr>
        <w:t>source</w:t>
      </w:r>
      <w:r w:rsidRPr="00F100B5">
        <w:rPr>
          <w:rFonts w:ascii="Arial" w:hAnsi="Arial" w:cs="Arial"/>
          <w:sz w:val="24"/>
          <w:szCs w:val="24"/>
        </w:rPr>
        <w:t xml:space="preserve"> permitem estudo, adaptação e redistribuição conforme os termos da licença adotada. </w:t>
      </w:r>
      <w:r>
        <w:rPr>
          <w:rFonts w:ascii="Arial" w:hAnsi="Arial" w:cs="Arial"/>
          <w:sz w:val="24"/>
          <w:szCs w:val="24"/>
        </w:rPr>
        <w:t>Em contraposição com o caso em questão, u</w:t>
      </w:r>
      <w:r w:rsidRPr="00F100B5">
        <w:rPr>
          <w:rFonts w:ascii="Arial" w:hAnsi="Arial" w:cs="Arial"/>
          <w:sz w:val="24"/>
          <w:szCs w:val="24"/>
        </w:rPr>
        <w:t xml:space="preserve">m exemplo bastante conhecido de software </w:t>
      </w:r>
      <w:r w:rsidRPr="00F100B5">
        <w:rPr>
          <w:rFonts w:ascii="Arial" w:hAnsi="Arial" w:cs="Arial"/>
          <w:i/>
          <w:iCs/>
          <w:sz w:val="24"/>
          <w:szCs w:val="24"/>
        </w:rPr>
        <w:t>open</w:t>
      </w:r>
      <w:r w:rsidRPr="00F100B5">
        <w:rPr>
          <w:rFonts w:ascii="Arial" w:hAnsi="Arial" w:cs="Arial"/>
          <w:i/>
          <w:iCs/>
          <w:sz w:val="24"/>
          <w:szCs w:val="24"/>
        </w:rPr>
        <w:t>-</w:t>
      </w:r>
      <w:r w:rsidRPr="00F100B5">
        <w:rPr>
          <w:rFonts w:ascii="Arial" w:hAnsi="Arial" w:cs="Arial"/>
          <w:i/>
          <w:iCs/>
          <w:sz w:val="24"/>
          <w:szCs w:val="24"/>
        </w:rPr>
        <w:t>source</w:t>
      </w:r>
      <w:r w:rsidRPr="00F100B5">
        <w:rPr>
          <w:rFonts w:ascii="Arial" w:hAnsi="Arial" w:cs="Arial"/>
          <w:sz w:val="24"/>
          <w:szCs w:val="24"/>
        </w:rPr>
        <w:t xml:space="preserve"> é o sistema operacional </w:t>
      </w:r>
      <w:r w:rsidRPr="00F100B5">
        <w:rPr>
          <w:rStyle w:val="whitespace-normal"/>
          <w:rFonts w:ascii="Arial" w:hAnsi="Arial" w:cs="Arial"/>
          <w:sz w:val="24"/>
          <w:szCs w:val="24"/>
        </w:rPr>
        <w:t>Linux</w:t>
      </w:r>
      <w:r w:rsidRPr="00F100B5">
        <w:rPr>
          <w:rFonts w:ascii="Arial" w:hAnsi="Arial" w:cs="Arial"/>
          <w:sz w:val="24"/>
          <w:szCs w:val="24"/>
        </w:rPr>
        <w:t>, cujo código é publicamente disponível para desenvolvedores do mundo todo</w:t>
      </w:r>
      <w:r>
        <w:rPr>
          <w:rFonts w:ascii="Arial" w:hAnsi="Arial" w:cs="Arial"/>
          <w:sz w:val="24"/>
          <w:szCs w:val="24"/>
        </w:rPr>
        <w:t>.</w:t>
      </w:r>
    </w:p>
    <w:p w14:paraId="5E63E568" w14:textId="564DDE98" w:rsidR="004C785D" w:rsidRDefault="00C36173" w:rsidP="00D723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723DB" w:rsidRPr="00D723DB">
        <w:rPr>
          <w:rFonts w:ascii="Arial" w:hAnsi="Arial" w:cs="Arial"/>
          <w:sz w:val="24"/>
          <w:szCs w:val="24"/>
        </w:rPr>
        <w:t>Mesmo sem cópia integral, houve reaproveitamento da arquitetura</w:t>
      </w:r>
      <w:r>
        <w:rPr>
          <w:rFonts w:ascii="Arial" w:hAnsi="Arial" w:cs="Arial"/>
          <w:sz w:val="24"/>
          <w:szCs w:val="24"/>
        </w:rPr>
        <w:t xml:space="preserve"> (maneira como foi pensado e construído)</w:t>
      </w:r>
      <w:r w:rsidR="00D723DB" w:rsidRPr="00D723DB">
        <w:rPr>
          <w:rFonts w:ascii="Arial" w:hAnsi="Arial" w:cs="Arial"/>
          <w:sz w:val="24"/>
          <w:szCs w:val="24"/>
        </w:rPr>
        <w:t xml:space="preserve"> e lógica do sistema</w:t>
      </w:r>
      <w:r>
        <w:rPr>
          <w:rFonts w:ascii="Arial" w:hAnsi="Arial" w:cs="Arial"/>
          <w:sz w:val="24"/>
          <w:szCs w:val="24"/>
        </w:rPr>
        <w:t xml:space="preserve"> (possíveis regras de negócios prontos)</w:t>
      </w:r>
      <w:r w:rsidR="00D723DB" w:rsidRPr="00D723DB">
        <w:rPr>
          <w:rFonts w:ascii="Arial" w:hAnsi="Arial" w:cs="Arial"/>
          <w:sz w:val="24"/>
          <w:szCs w:val="24"/>
        </w:rPr>
        <w:t xml:space="preserve">. Essa conduta, conforme a </w:t>
      </w:r>
      <w:r w:rsidR="00D723DB" w:rsidRPr="00D723DB">
        <w:rPr>
          <w:rStyle w:val="whitespace-normal"/>
          <w:rFonts w:ascii="Arial" w:hAnsi="Arial" w:cs="Arial"/>
          <w:sz w:val="24"/>
          <w:szCs w:val="24"/>
        </w:rPr>
        <w:t>Lei 9.609/1998</w:t>
      </w:r>
      <w:r w:rsidR="00D723DB" w:rsidRPr="00D723DB">
        <w:rPr>
          <w:rFonts w:ascii="Arial" w:hAnsi="Arial" w:cs="Arial"/>
          <w:sz w:val="24"/>
          <w:szCs w:val="24"/>
        </w:rPr>
        <w:t xml:space="preserve"> e a </w:t>
      </w:r>
      <w:r w:rsidR="00D723DB" w:rsidRPr="00D723DB">
        <w:rPr>
          <w:rStyle w:val="whitespace-normal"/>
          <w:rFonts w:ascii="Arial" w:hAnsi="Arial" w:cs="Arial"/>
          <w:sz w:val="24"/>
          <w:szCs w:val="24"/>
        </w:rPr>
        <w:t>Lei 9.610/1998</w:t>
      </w:r>
      <w:r w:rsidR="00D723DB" w:rsidRPr="00D723DB">
        <w:rPr>
          <w:rFonts w:ascii="Arial" w:hAnsi="Arial" w:cs="Arial"/>
          <w:sz w:val="24"/>
          <w:szCs w:val="24"/>
        </w:rPr>
        <w:t>, caracteriza violação de direito autoral e ato ilícito concorrencial.</w:t>
      </w:r>
    </w:p>
    <w:p w14:paraId="2390581E" w14:textId="1C046702" w:rsidR="004C785D" w:rsidRDefault="004C785D" w:rsidP="00D723D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Base legal utilizada na condenação</w:t>
      </w:r>
    </w:p>
    <w:p w14:paraId="6FF07743" w14:textId="7AB33153" w:rsidR="004C785D" w:rsidRDefault="004C785D" w:rsidP="00D723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 acordo com a notícia, a</w:t>
      </w:r>
      <w:r w:rsidRPr="004C785D">
        <w:rPr>
          <w:rFonts w:ascii="Arial" w:hAnsi="Arial" w:cs="Arial"/>
          <w:sz w:val="24"/>
          <w:szCs w:val="24"/>
        </w:rPr>
        <w:t xml:space="preserve"> condenação fundamentou-se principalmente na </w:t>
      </w:r>
      <w:r w:rsidRPr="004C785D">
        <w:rPr>
          <w:rStyle w:val="whitespace-normal"/>
          <w:rFonts w:ascii="Arial" w:hAnsi="Arial" w:cs="Arial"/>
          <w:sz w:val="24"/>
          <w:szCs w:val="24"/>
        </w:rPr>
        <w:t>Lei 9.609/1998</w:t>
      </w:r>
      <w:r w:rsidRPr="004C785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sobretudo</w:t>
      </w:r>
      <w:r w:rsidRPr="004C785D">
        <w:rPr>
          <w:rFonts w:ascii="Arial" w:hAnsi="Arial" w:cs="Arial"/>
          <w:sz w:val="24"/>
          <w:szCs w:val="24"/>
        </w:rPr>
        <w:t xml:space="preserve"> no artigo 2º, que assegura proteção autoral aos programas de computador, combinado com o artigo 29 da </w:t>
      </w:r>
      <w:r w:rsidRPr="004C785D">
        <w:rPr>
          <w:rStyle w:val="whitespace-normal"/>
          <w:rFonts w:ascii="Arial" w:hAnsi="Arial" w:cs="Arial"/>
          <w:sz w:val="24"/>
          <w:szCs w:val="24"/>
        </w:rPr>
        <w:t>Lei 9.610/1998</w:t>
      </w:r>
      <w:r w:rsidRPr="004C785D">
        <w:rPr>
          <w:rFonts w:ascii="Arial" w:hAnsi="Arial" w:cs="Arial"/>
          <w:sz w:val="24"/>
          <w:szCs w:val="24"/>
        </w:rPr>
        <w:t xml:space="preserve">, que exige autorização prévia para reprodução ou adaptação da obra. As normas foram aplicadas de forma </w:t>
      </w:r>
      <w:r>
        <w:rPr>
          <w:rFonts w:ascii="Arial" w:hAnsi="Arial" w:cs="Arial"/>
          <w:sz w:val="24"/>
          <w:szCs w:val="24"/>
        </w:rPr>
        <w:t>conjunta</w:t>
      </w:r>
      <w:r w:rsidRPr="004C785D">
        <w:rPr>
          <w:rFonts w:ascii="Arial" w:hAnsi="Arial" w:cs="Arial"/>
          <w:sz w:val="24"/>
          <w:szCs w:val="24"/>
        </w:rPr>
        <w:t>,</w:t>
      </w:r>
      <w:r w:rsidR="00F37924">
        <w:rPr>
          <w:rFonts w:ascii="Arial" w:hAnsi="Arial" w:cs="Arial"/>
          <w:sz w:val="24"/>
          <w:szCs w:val="24"/>
        </w:rPr>
        <w:t xml:space="preserve"> ou seja, dupla instrumentalização (quando se usa mais do que um dispositivo legal para o sustento de uma fundamentação)</w:t>
      </w:r>
      <w:r w:rsidRPr="004C785D">
        <w:rPr>
          <w:rFonts w:ascii="Arial" w:hAnsi="Arial" w:cs="Arial"/>
          <w:sz w:val="24"/>
          <w:szCs w:val="24"/>
        </w:rPr>
        <w:t xml:space="preserve"> reconhecendo a cópia como ilícito civil e concorrência desleal</w:t>
      </w:r>
      <w:r w:rsidR="00F3792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F37924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principal </w:t>
      </w:r>
      <w:r>
        <w:rPr>
          <w:rFonts w:ascii="Arial" w:hAnsi="Arial" w:cs="Arial"/>
          <w:sz w:val="24"/>
          <w:szCs w:val="24"/>
        </w:rPr>
        <w:lastRenderedPageBreak/>
        <w:t>argumento avaliado pela juíza</w:t>
      </w:r>
      <w:r w:rsidR="00F37924">
        <w:rPr>
          <w:rFonts w:ascii="Arial" w:hAnsi="Arial" w:cs="Arial"/>
          <w:sz w:val="24"/>
          <w:szCs w:val="24"/>
        </w:rPr>
        <w:t>, segundo o artigo do caso presente,</w:t>
      </w:r>
      <w:r>
        <w:rPr>
          <w:rFonts w:ascii="Arial" w:hAnsi="Arial" w:cs="Arial"/>
          <w:sz w:val="24"/>
          <w:szCs w:val="24"/>
        </w:rPr>
        <w:t xml:space="preserve"> foi a impossibilidade da construção do novo programa em curto período de tempo, caracterizando a tipificação do ilícito.</w:t>
      </w:r>
    </w:p>
    <w:p w14:paraId="4778454C" w14:textId="55517E6A" w:rsidR="00F37924" w:rsidRPr="004C785D" w:rsidRDefault="00F37924" w:rsidP="00D723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Prejuízos sofridos</w:t>
      </w:r>
    </w:p>
    <w:p w14:paraId="085853C4" w14:textId="623C736A" w:rsidR="001F0F39" w:rsidRDefault="00662AE9" w:rsidP="00662A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="00217705" w:rsidRPr="00217705">
        <w:rPr>
          <w:rFonts w:ascii="Arial" w:hAnsi="Arial" w:cs="Arial"/>
          <w:sz w:val="24"/>
          <w:szCs w:val="24"/>
        </w:rPr>
        <w:t>De</w:t>
      </w:r>
      <w:r w:rsidR="00217705">
        <w:rPr>
          <w:rFonts w:ascii="Arial" w:hAnsi="Arial" w:cs="Arial"/>
          <w:sz w:val="24"/>
          <w:szCs w:val="24"/>
        </w:rPr>
        <w:t xml:space="preserve"> acordo com a notícia, a</w:t>
      </w:r>
      <w:r w:rsidRPr="00662AE9">
        <w:rPr>
          <w:rFonts w:ascii="Arial" w:hAnsi="Arial" w:cs="Arial"/>
          <w:sz w:val="24"/>
          <w:szCs w:val="24"/>
        </w:rPr>
        <w:t xml:space="preserve"> empresa original sofreu prejuízos econômicos, </w:t>
      </w:r>
      <w:r w:rsidR="00217705">
        <w:rPr>
          <w:rFonts w:ascii="Arial" w:hAnsi="Arial" w:cs="Arial"/>
          <w:sz w:val="24"/>
          <w:szCs w:val="24"/>
        </w:rPr>
        <w:t>no sentido de que</w:t>
      </w:r>
      <w:r w:rsidRPr="00662AE9">
        <w:rPr>
          <w:rFonts w:ascii="Arial" w:hAnsi="Arial" w:cs="Arial"/>
          <w:sz w:val="24"/>
          <w:szCs w:val="24"/>
        </w:rPr>
        <w:t xml:space="preserve"> investiu por mais de 16 anos no desenvolvimento do sistema e na consolidação no mercado de cartórios. Ao ter </w:t>
      </w:r>
      <w:r w:rsidR="00711881">
        <w:rPr>
          <w:rFonts w:ascii="Arial" w:hAnsi="Arial" w:cs="Arial"/>
          <w:sz w:val="24"/>
          <w:szCs w:val="24"/>
        </w:rPr>
        <w:t>o</w:t>
      </w:r>
      <w:r w:rsidRPr="00662AE9">
        <w:rPr>
          <w:rFonts w:ascii="Arial" w:hAnsi="Arial" w:cs="Arial"/>
          <w:sz w:val="24"/>
          <w:szCs w:val="24"/>
        </w:rPr>
        <w:t xml:space="preserve"> software plagiado e comercializado por ex-funcionários, houve </w:t>
      </w:r>
      <w:r w:rsidR="00711881">
        <w:rPr>
          <w:rFonts w:ascii="Arial" w:hAnsi="Arial" w:cs="Arial"/>
          <w:sz w:val="24"/>
          <w:szCs w:val="24"/>
        </w:rPr>
        <w:t>uso</w:t>
      </w:r>
      <w:r w:rsidRPr="00662AE9">
        <w:rPr>
          <w:rFonts w:ascii="Arial" w:hAnsi="Arial" w:cs="Arial"/>
          <w:sz w:val="24"/>
          <w:szCs w:val="24"/>
        </w:rPr>
        <w:t xml:space="preserve"> indevid</w:t>
      </w:r>
      <w:r w:rsidR="00711881">
        <w:rPr>
          <w:rFonts w:ascii="Arial" w:hAnsi="Arial" w:cs="Arial"/>
          <w:sz w:val="24"/>
          <w:szCs w:val="24"/>
        </w:rPr>
        <w:t>o</w:t>
      </w:r>
      <w:r w:rsidRPr="00662AE9">
        <w:rPr>
          <w:rFonts w:ascii="Arial" w:hAnsi="Arial" w:cs="Arial"/>
          <w:sz w:val="24"/>
          <w:szCs w:val="24"/>
        </w:rPr>
        <w:t xml:space="preserve"> de seu investimento intelectual, risco de perda de clientes e comprometimento da vantagem competitiva construída ao longo do tempo.</w:t>
      </w:r>
    </w:p>
    <w:p w14:paraId="43EFB128" w14:textId="77777777" w:rsidR="00662AE9" w:rsidRPr="00662AE9" w:rsidRDefault="00662AE9" w:rsidP="00662AE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1F8FFA" w14:textId="3C5C2E71" w:rsidR="002F69CA" w:rsidRPr="001B75DA" w:rsidRDefault="00832EC2" w:rsidP="002F69C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Conexão com LDA (Lei de Direitos Autorais)</w:t>
      </w:r>
    </w:p>
    <w:p w14:paraId="64BC505F" w14:textId="0AFA4CE2" w:rsidR="00832EC2" w:rsidRPr="00832EC2" w:rsidRDefault="002F69CA" w:rsidP="00832EC2">
      <w:pPr>
        <w:pStyle w:val="NormalWeb"/>
        <w:spacing w:line="360" w:lineRule="auto"/>
        <w:jc w:val="both"/>
        <w:rPr>
          <w:rFonts w:ascii="Arial" w:hAnsi="Arial" w:cs="Arial"/>
        </w:rPr>
      </w:pPr>
      <w:r w:rsidRPr="001B75DA">
        <w:rPr>
          <w:rFonts w:ascii="Arial" w:hAnsi="Arial" w:cs="Arial"/>
          <w:b/>
          <w:bCs/>
        </w:rPr>
        <w:tab/>
      </w:r>
      <w:r w:rsidR="00832EC2" w:rsidRPr="00832EC2">
        <w:rPr>
          <w:rFonts w:ascii="Arial" w:hAnsi="Arial" w:cs="Arial"/>
        </w:rPr>
        <w:t>O artigo 108 da Lei nº 9.610/1998</w:t>
      </w:r>
      <w:r w:rsidR="00832EC2">
        <w:rPr>
          <w:rFonts w:ascii="Arial" w:hAnsi="Arial" w:cs="Arial"/>
        </w:rPr>
        <w:t xml:space="preserve"> que foi exposto no material da agenda 02,</w:t>
      </w:r>
      <w:r w:rsidR="00832EC2" w:rsidRPr="00832EC2">
        <w:rPr>
          <w:rFonts w:ascii="Arial" w:hAnsi="Arial" w:cs="Arial"/>
        </w:rPr>
        <w:t xml:space="preserve"> determina que, ao utilizar obra intelectual sem indicar o autor, o responsável deve reparar o dano moral e divulgar corretamente a autoria. Em software, isso ocorre quando código ou partes de sistemas são usados sem a devida atribuição.</w:t>
      </w:r>
    </w:p>
    <w:p w14:paraId="276427C7" w14:textId="63F24622" w:rsidR="00832EC2" w:rsidRDefault="00832EC2" w:rsidP="00832EC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  <w:r w:rsidRPr="00832EC2">
        <w:rPr>
          <w:rFonts w:ascii="Arial" w:eastAsia="Times New Roman" w:hAnsi="Arial" w:cs="Arial"/>
          <w:sz w:val="24"/>
          <w:szCs w:val="24"/>
          <w:lang w:eastAsia="pt-BR"/>
        </w:rPr>
        <w:t xml:space="preserve">Mesmo sem prejuízo financeiro, a omissão do nome do autor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já seria o suficiente para </w:t>
      </w:r>
      <w:r w:rsidRPr="00832EC2">
        <w:rPr>
          <w:rFonts w:ascii="Arial" w:eastAsia="Times New Roman" w:hAnsi="Arial" w:cs="Arial"/>
          <w:sz w:val="24"/>
          <w:szCs w:val="24"/>
          <w:lang w:eastAsia="pt-BR"/>
        </w:rPr>
        <w:t>viola</w:t>
      </w:r>
      <w:r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Pr="00832EC2">
        <w:rPr>
          <w:rFonts w:ascii="Arial" w:eastAsia="Times New Roman" w:hAnsi="Arial" w:cs="Arial"/>
          <w:sz w:val="24"/>
          <w:szCs w:val="24"/>
          <w:lang w:eastAsia="pt-BR"/>
        </w:rPr>
        <w:t xml:space="preserve"> direito moral. Por isso, é essencial manter créditos, respeitar licenças e registrar corretamente bibliotecas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832EC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frameworks</w:t>
      </w:r>
      <w:r w:rsidRPr="00832EC2">
        <w:rPr>
          <w:rFonts w:ascii="Arial" w:eastAsia="Times New Roman" w:hAnsi="Arial" w:cs="Arial"/>
          <w:sz w:val="24"/>
          <w:szCs w:val="24"/>
          <w:lang w:eastAsia="pt-BR"/>
        </w:rPr>
        <w:t xml:space="preserve"> e trechos utilizados, garantindo ética, legalidade e reconhecimento profissional.</w:t>
      </w:r>
    </w:p>
    <w:p w14:paraId="2CCAB9B2" w14:textId="36960782" w:rsidR="00BC1541" w:rsidRDefault="00BC1541" w:rsidP="00BC154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Prevenção</w:t>
      </w:r>
    </w:p>
    <w:p w14:paraId="34AADEB8" w14:textId="3CA56C9A" w:rsidR="003A5AE8" w:rsidRPr="003A5AE8" w:rsidRDefault="003A5AE8" w:rsidP="003A5AE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3A5AE8">
        <w:rPr>
          <w:rFonts w:ascii="Arial" w:hAnsi="Arial" w:cs="Arial"/>
          <w:sz w:val="24"/>
          <w:szCs w:val="24"/>
        </w:rPr>
        <w:t xml:space="preserve">Como coordenador de TI, eu adotaria tanto medidas técnicas quanto administrativas de forma </w:t>
      </w:r>
      <w:r w:rsidR="00BF7D1D">
        <w:rPr>
          <w:rFonts w:ascii="Arial" w:hAnsi="Arial" w:cs="Arial"/>
          <w:sz w:val="24"/>
          <w:szCs w:val="24"/>
        </w:rPr>
        <w:t>conjunta</w:t>
      </w:r>
      <w:r w:rsidRPr="003A5AE8">
        <w:rPr>
          <w:rFonts w:ascii="Arial" w:hAnsi="Arial" w:cs="Arial"/>
          <w:sz w:val="24"/>
          <w:szCs w:val="24"/>
        </w:rPr>
        <w:t xml:space="preserve">: utilizaria controle de versão com </w:t>
      </w:r>
      <w:r w:rsidRPr="00BF7D1D">
        <w:rPr>
          <w:rFonts w:ascii="Arial" w:hAnsi="Arial" w:cs="Arial"/>
          <w:i/>
          <w:iCs/>
          <w:sz w:val="24"/>
          <w:szCs w:val="24"/>
        </w:rPr>
        <w:t>Git</w:t>
      </w:r>
      <w:r w:rsidR="00BF7D1D">
        <w:rPr>
          <w:rFonts w:ascii="Arial" w:hAnsi="Arial" w:cs="Arial"/>
          <w:sz w:val="24"/>
          <w:szCs w:val="24"/>
        </w:rPr>
        <w:t xml:space="preserve"> e </w:t>
      </w:r>
      <w:r w:rsidR="00BF7D1D" w:rsidRPr="00BF7D1D">
        <w:rPr>
          <w:rFonts w:ascii="Arial" w:hAnsi="Arial" w:cs="Arial"/>
          <w:i/>
          <w:iCs/>
          <w:sz w:val="24"/>
          <w:szCs w:val="24"/>
        </w:rPr>
        <w:t>GiHub Desktop</w:t>
      </w:r>
      <w:r w:rsidRPr="003A5AE8">
        <w:rPr>
          <w:rFonts w:ascii="Arial" w:hAnsi="Arial" w:cs="Arial"/>
          <w:sz w:val="24"/>
          <w:szCs w:val="24"/>
        </w:rPr>
        <w:t xml:space="preserve"> e repositórios privados para garantir rastreabilidade de autoria, manteria backups</w:t>
      </w:r>
      <w:r w:rsidR="009A35F8">
        <w:rPr>
          <w:rFonts w:ascii="Arial" w:hAnsi="Arial" w:cs="Arial"/>
          <w:sz w:val="24"/>
          <w:szCs w:val="24"/>
        </w:rPr>
        <w:t xml:space="preserve"> </w:t>
      </w:r>
      <w:r w:rsidRPr="003A5AE8">
        <w:rPr>
          <w:rFonts w:ascii="Arial" w:hAnsi="Arial" w:cs="Arial"/>
          <w:sz w:val="24"/>
          <w:szCs w:val="24"/>
        </w:rPr>
        <w:t xml:space="preserve">com acesso restrito e promoveria revisões periódicas de código. </w:t>
      </w:r>
      <w:r w:rsidR="009A35F8">
        <w:rPr>
          <w:rFonts w:ascii="Arial" w:hAnsi="Arial" w:cs="Arial"/>
          <w:sz w:val="24"/>
          <w:szCs w:val="24"/>
        </w:rPr>
        <w:tab/>
        <w:t>Ao mesmo tempo</w:t>
      </w:r>
      <w:r w:rsidRPr="003A5AE8">
        <w:rPr>
          <w:rFonts w:ascii="Arial" w:hAnsi="Arial" w:cs="Arial"/>
          <w:sz w:val="24"/>
          <w:szCs w:val="24"/>
        </w:rPr>
        <w:t xml:space="preserve">, firmaria contratos de confidencialidade, incluiria cláusulas claras de propriedade intelectual e realizaria o registro dos softwares no </w:t>
      </w:r>
      <w:r w:rsidRPr="003A5AE8">
        <w:rPr>
          <w:rStyle w:val="whitespace-normal"/>
          <w:rFonts w:ascii="Arial" w:hAnsi="Arial" w:cs="Arial"/>
          <w:sz w:val="24"/>
          <w:szCs w:val="24"/>
        </w:rPr>
        <w:t>Instituto Nacional da Propriedade Industrial</w:t>
      </w:r>
      <w:r w:rsidR="009A35F8">
        <w:rPr>
          <w:rStyle w:val="whitespace-normal"/>
          <w:rFonts w:ascii="Arial" w:hAnsi="Arial" w:cs="Arial"/>
          <w:sz w:val="24"/>
          <w:szCs w:val="24"/>
        </w:rPr>
        <w:t xml:space="preserve"> para fins de respaldo econômico e intelectual</w:t>
      </w:r>
      <w:r w:rsidRPr="003A5AE8">
        <w:rPr>
          <w:rFonts w:ascii="Arial" w:hAnsi="Arial" w:cs="Arial"/>
          <w:sz w:val="24"/>
          <w:szCs w:val="24"/>
        </w:rPr>
        <w:t xml:space="preserve">, além de </w:t>
      </w:r>
      <w:r w:rsidR="009A35F8">
        <w:rPr>
          <w:rFonts w:ascii="Arial" w:hAnsi="Arial" w:cs="Arial"/>
          <w:sz w:val="24"/>
          <w:szCs w:val="24"/>
        </w:rPr>
        <w:t>focar</w:t>
      </w:r>
      <w:r w:rsidRPr="003A5AE8">
        <w:rPr>
          <w:rFonts w:ascii="Arial" w:hAnsi="Arial" w:cs="Arial"/>
          <w:sz w:val="24"/>
          <w:szCs w:val="24"/>
        </w:rPr>
        <w:t xml:space="preserve"> em orientação contínua da equipe sobre ética e direitos autorais</w:t>
      </w:r>
      <w:r w:rsidR="009A35F8">
        <w:rPr>
          <w:rFonts w:ascii="Arial" w:hAnsi="Arial" w:cs="Arial"/>
          <w:sz w:val="24"/>
          <w:szCs w:val="24"/>
        </w:rPr>
        <w:t xml:space="preserve"> bem como as consequências desses fatores na empresa.</w:t>
      </w:r>
    </w:p>
    <w:p w14:paraId="60796955" w14:textId="77777777" w:rsidR="00BC1541" w:rsidRPr="00832EC2" w:rsidRDefault="00BC1541" w:rsidP="00832EC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17DE6A6" w14:textId="4856B9E9" w:rsidR="001F0F39" w:rsidRPr="001B75DA" w:rsidRDefault="001F0F39" w:rsidP="001F0F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1F0F39" w:rsidRPr="001B7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5013"/>
    <w:multiLevelType w:val="multilevel"/>
    <w:tmpl w:val="427E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66F9"/>
    <w:multiLevelType w:val="multilevel"/>
    <w:tmpl w:val="7110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B31B6"/>
    <w:multiLevelType w:val="multilevel"/>
    <w:tmpl w:val="A9128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62D12"/>
    <w:multiLevelType w:val="multilevel"/>
    <w:tmpl w:val="7D44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F7E73"/>
    <w:multiLevelType w:val="multilevel"/>
    <w:tmpl w:val="BEB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A393E"/>
    <w:multiLevelType w:val="multilevel"/>
    <w:tmpl w:val="8D3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4380"/>
    <w:multiLevelType w:val="multilevel"/>
    <w:tmpl w:val="6EB2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A04F8"/>
    <w:multiLevelType w:val="multilevel"/>
    <w:tmpl w:val="A42A6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16705"/>
    <w:multiLevelType w:val="multilevel"/>
    <w:tmpl w:val="C9AA3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D2B3C"/>
    <w:multiLevelType w:val="multilevel"/>
    <w:tmpl w:val="CCA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510581"/>
    <w:multiLevelType w:val="multilevel"/>
    <w:tmpl w:val="8E4EA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718AF"/>
    <w:multiLevelType w:val="multilevel"/>
    <w:tmpl w:val="347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2E67"/>
    <w:multiLevelType w:val="multilevel"/>
    <w:tmpl w:val="BE3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3DA3"/>
    <w:multiLevelType w:val="multilevel"/>
    <w:tmpl w:val="CF4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0066CA"/>
    <w:multiLevelType w:val="multilevel"/>
    <w:tmpl w:val="5902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539F7"/>
    <w:multiLevelType w:val="multilevel"/>
    <w:tmpl w:val="CD56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B461D"/>
    <w:multiLevelType w:val="multilevel"/>
    <w:tmpl w:val="34A6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80ECF"/>
    <w:multiLevelType w:val="multilevel"/>
    <w:tmpl w:val="AF166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D5799"/>
    <w:multiLevelType w:val="multilevel"/>
    <w:tmpl w:val="B12A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523239"/>
    <w:multiLevelType w:val="multilevel"/>
    <w:tmpl w:val="EC0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F6E38"/>
    <w:multiLevelType w:val="multilevel"/>
    <w:tmpl w:val="5D060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65D4D"/>
    <w:multiLevelType w:val="multilevel"/>
    <w:tmpl w:val="5FB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E10C0"/>
    <w:multiLevelType w:val="multilevel"/>
    <w:tmpl w:val="87BCE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74296F"/>
    <w:multiLevelType w:val="multilevel"/>
    <w:tmpl w:val="9298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53D3B"/>
    <w:multiLevelType w:val="multilevel"/>
    <w:tmpl w:val="7C484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B5F8D"/>
    <w:multiLevelType w:val="multilevel"/>
    <w:tmpl w:val="BFB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"/>
  </w:num>
  <w:num w:numId="5">
    <w:abstractNumId w:val="26"/>
  </w:num>
  <w:num w:numId="6">
    <w:abstractNumId w:val="21"/>
  </w:num>
  <w:num w:numId="7">
    <w:abstractNumId w:val="0"/>
  </w:num>
  <w:num w:numId="8">
    <w:abstractNumId w:val="12"/>
  </w:num>
  <w:num w:numId="9">
    <w:abstractNumId w:val="25"/>
  </w:num>
  <w:num w:numId="10">
    <w:abstractNumId w:val="17"/>
  </w:num>
  <w:num w:numId="11">
    <w:abstractNumId w:val="14"/>
  </w:num>
  <w:num w:numId="12">
    <w:abstractNumId w:val="15"/>
  </w:num>
  <w:num w:numId="13">
    <w:abstractNumId w:val="18"/>
  </w:num>
  <w:num w:numId="14">
    <w:abstractNumId w:val="19"/>
  </w:num>
  <w:num w:numId="15">
    <w:abstractNumId w:val="22"/>
  </w:num>
  <w:num w:numId="16">
    <w:abstractNumId w:val="9"/>
  </w:num>
  <w:num w:numId="17">
    <w:abstractNumId w:val="10"/>
  </w:num>
  <w:num w:numId="18">
    <w:abstractNumId w:val="20"/>
  </w:num>
  <w:num w:numId="19">
    <w:abstractNumId w:val="2"/>
  </w:num>
  <w:num w:numId="20">
    <w:abstractNumId w:val="5"/>
  </w:num>
  <w:num w:numId="21">
    <w:abstractNumId w:val="16"/>
  </w:num>
  <w:num w:numId="22">
    <w:abstractNumId w:val="23"/>
  </w:num>
  <w:num w:numId="23">
    <w:abstractNumId w:val="6"/>
  </w:num>
  <w:num w:numId="24">
    <w:abstractNumId w:val="24"/>
  </w:num>
  <w:num w:numId="25">
    <w:abstractNumId w:val="13"/>
  </w:num>
  <w:num w:numId="26">
    <w:abstractNumId w:val="7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02E87"/>
    <w:rsid w:val="00032DEC"/>
    <w:rsid w:val="00062F3E"/>
    <w:rsid w:val="000C6DA4"/>
    <w:rsid w:val="00125489"/>
    <w:rsid w:val="001A3E59"/>
    <w:rsid w:val="001B75DA"/>
    <w:rsid w:val="001C7FD7"/>
    <w:rsid w:val="001F0F39"/>
    <w:rsid w:val="00204D60"/>
    <w:rsid w:val="00217705"/>
    <w:rsid w:val="00232660"/>
    <w:rsid w:val="002F69CA"/>
    <w:rsid w:val="00385D0C"/>
    <w:rsid w:val="003A5AE8"/>
    <w:rsid w:val="004C785D"/>
    <w:rsid w:val="005160E3"/>
    <w:rsid w:val="005B4EA4"/>
    <w:rsid w:val="005D3FAF"/>
    <w:rsid w:val="0063067B"/>
    <w:rsid w:val="00662AE9"/>
    <w:rsid w:val="00670FF2"/>
    <w:rsid w:val="00696552"/>
    <w:rsid w:val="006A6D12"/>
    <w:rsid w:val="00711881"/>
    <w:rsid w:val="007B2C46"/>
    <w:rsid w:val="007C0866"/>
    <w:rsid w:val="007D2AE4"/>
    <w:rsid w:val="007D51AD"/>
    <w:rsid w:val="007D789B"/>
    <w:rsid w:val="00832EC2"/>
    <w:rsid w:val="008A34A3"/>
    <w:rsid w:val="00945A79"/>
    <w:rsid w:val="00956BD9"/>
    <w:rsid w:val="009A35F8"/>
    <w:rsid w:val="009F4B57"/>
    <w:rsid w:val="00A327D2"/>
    <w:rsid w:val="00AF1B0C"/>
    <w:rsid w:val="00B75748"/>
    <w:rsid w:val="00BC1541"/>
    <w:rsid w:val="00BF7D1D"/>
    <w:rsid w:val="00C20D39"/>
    <w:rsid w:val="00C20FAC"/>
    <w:rsid w:val="00C32F9D"/>
    <w:rsid w:val="00C36173"/>
    <w:rsid w:val="00C45198"/>
    <w:rsid w:val="00CC0E61"/>
    <w:rsid w:val="00D07B68"/>
    <w:rsid w:val="00D10D1E"/>
    <w:rsid w:val="00D30094"/>
    <w:rsid w:val="00D723DB"/>
    <w:rsid w:val="00D727B4"/>
    <w:rsid w:val="00DA2D99"/>
    <w:rsid w:val="00DF4EFE"/>
    <w:rsid w:val="00DF7B95"/>
    <w:rsid w:val="00E8085B"/>
    <w:rsid w:val="00E92BC3"/>
    <w:rsid w:val="00EB4330"/>
    <w:rsid w:val="00EC231C"/>
    <w:rsid w:val="00EF1402"/>
    <w:rsid w:val="00F100B5"/>
    <w:rsid w:val="00F37924"/>
    <w:rsid w:val="00F4136A"/>
    <w:rsid w:val="00F6209E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2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Hyperlink">
    <w:name w:val="Hyperlink"/>
    <w:basedOn w:val="Fontepargpadro"/>
    <w:uiPriority w:val="99"/>
    <w:unhideWhenUsed/>
    <w:rsid w:val="00C20F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FAC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C20F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20F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20FAC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F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Fontepargpadro"/>
    <w:rsid w:val="001B7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575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50</cp:revision>
  <cp:lastPrinted>2026-02-22T22:42:00Z</cp:lastPrinted>
  <dcterms:created xsi:type="dcterms:W3CDTF">2025-08-30T18:44:00Z</dcterms:created>
  <dcterms:modified xsi:type="dcterms:W3CDTF">2026-03-04T11:27:00Z</dcterms:modified>
</cp:coreProperties>
</file>