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w:t>
      </w:r>
      <w:r>
        <w:t>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7DE52A05" w:rsidR="00FF6F4F" w:rsidRDefault="00FF6F4F" w:rsidP="00FF6F4F">
      <w:pPr>
        <w:pStyle w:val="PargrafodaLista"/>
        <w:ind w:left="0"/>
        <w:jc w:val="both"/>
      </w:pPr>
      <w:r>
        <w:rPr>
          <w:b/>
          <w:bCs/>
        </w:rPr>
        <w:lastRenderedPageBreak/>
        <w:t xml:space="preserve">TORNANDO IFRAMES SEGUROS: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1D07A0C2" w:rsidR="00862B5E" w:rsidRPr="00C6176D" w:rsidRDefault="00862B5E" w:rsidP="00862B5E">
      <w:pPr>
        <w:pStyle w:val="PargrafodaLista"/>
        <w:numPr>
          <w:ilvl w:val="0"/>
          <w:numId w:val="2"/>
        </w:numPr>
        <w:jc w:val="both"/>
      </w:pPr>
      <w:r>
        <w:rPr>
          <w:b/>
          <w:bCs/>
        </w:rPr>
        <w:t xml:space="preserve">Sandbox=”sandbox”: </w:t>
      </w:r>
      <w:r>
        <w:t>Impede que informações que poderiam ser enviadas em formulários sejam enviadas (tira a funcionalidade do botão submit).</w:t>
      </w:r>
    </w:p>
    <w:sectPr w:rsidR="00862B5E" w:rsidRPr="00C6176D"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A65E7"/>
    <w:rsid w:val="00136855"/>
    <w:rsid w:val="00184344"/>
    <w:rsid w:val="0020657E"/>
    <w:rsid w:val="002824B1"/>
    <w:rsid w:val="0029423E"/>
    <w:rsid w:val="00430288"/>
    <w:rsid w:val="00524612"/>
    <w:rsid w:val="00527266"/>
    <w:rsid w:val="0057503A"/>
    <w:rsid w:val="00596E6F"/>
    <w:rsid w:val="005C23BF"/>
    <w:rsid w:val="005C7E92"/>
    <w:rsid w:val="00724D79"/>
    <w:rsid w:val="007409F9"/>
    <w:rsid w:val="00756AE1"/>
    <w:rsid w:val="00862B5E"/>
    <w:rsid w:val="0089224E"/>
    <w:rsid w:val="009F54B5"/>
    <w:rsid w:val="00AC13C0"/>
    <w:rsid w:val="00AC4A94"/>
    <w:rsid w:val="00AD12F7"/>
    <w:rsid w:val="00AE0E98"/>
    <w:rsid w:val="00B5370B"/>
    <w:rsid w:val="00BD4D12"/>
    <w:rsid w:val="00C6176D"/>
    <w:rsid w:val="00D6629B"/>
    <w:rsid w:val="00E62D86"/>
    <w:rsid w:val="00E63921"/>
    <w:rsid w:val="00F253B9"/>
    <w:rsid w:val="00F91F75"/>
    <w:rsid w:val="00FC001C"/>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690</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26</cp:revision>
  <dcterms:created xsi:type="dcterms:W3CDTF">2024-10-31T11:01:00Z</dcterms:created>
  <dcterms:modified xsi:type="dcterms:W3CDTF">2024-10-31T13:14:00Z</dcterms:modified>
</cp:coreProperties>
</file>