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1 OBJETIVO E ABRANGÊNCIA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Definir a forma de utilização dos geradores, informando aos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manutentores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as funções básicas de operação e funcionamento.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 GERADORES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2.1 Conhecendo os geradores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O gerador é um aparelho que converte energia mecânica em energia elétrica.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Na Rotoplastyc, os aparelhos servem para abastecer a empresa em caso de interrupção de energia elétrica ou mesmo para economia em horários de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pico.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2.1.1 Gerador 1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Gerador 01 fica localizado próximo a área administrativa, conforme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1. É ligado apenas quando a energia elétrica externa é interrompida, sendo ativado automaticamente. O Gerador 01 abastece os setores Administrativo, Matrizaria, Almoxarifado, Pigmentação e Micronização.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893317" cy="3276091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317" cy="3276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b w:val="0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rtl w:val="0"/>
        </w:rPr>
        <w:t xml:space="preserve">Imagem 1. Gerador 01.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b w:val="0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592225" cy="3436436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225" cy="3436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2. Gerador 01.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2.1.2 Gerador 2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Gerador 02 é composto pelo grupo de geradores, e fica localizado próximo a área fabril da Rotoplastyc, conforme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3.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Gerador 02 é responsável pelo fornecimento de energia aos pavilhões onde ficam alocadas as máquinas rotomoldadoras e setor de acabamento.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gerador 02 é ligado quando: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A energia elétrica externa é interrompida (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acionado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automaticamente);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Em horários pré-programados através do relógio do exercitador programável(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horários de pico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Ativado manualmente (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para testes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3: Gerador 02. C300D6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1434464</wp:posOffset>
            </wp:positionH>
            <wp:positionV relativeFrom="paragraph">
              <wp:posOffset>635</wp:posOffset>
            </wp:positionV>
            <wp:extent cx="3251200" cy="2438400"/>
            <wp:effectExtent b="0" l="0" r="0" t="0"/>
            <wp:wrapTopAndBottom distB="0" dist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                                         </w:t>
      </w: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Grupo de geradores é formado pelo gerador C300D6 (Imagem 4) e pela Chave de Transferência GTEC (Imagem 5) e fica disposto em local resistente e protegido contra intempéries.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4: Gerador C300D6.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919480</wp:posOffset>
            </wp:positionH>
            <wp:positionV relativeFrom="paragraph">
              <wp:posOffset>15875</wp:posOffset>
            </wp:positionV>
            <wp:extent cx="4187825" cy="3000375"/>
            <wp:effectExtent b="0" l="0" r="0" t="0"/>
            <wp:wrapTopAndBottom distB="0" dist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300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5: Chave de Transferência GTEC.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1710055</wp:posOffset>
            </wp:positionH>
            <wp:positionV relativeFrom="paragraph">
              <wp:posOffset>17145</wp:posOffset>
            </wp:positionV>
            <wp:extent cx="2700655" cy="3258185"/>
            <wp:effectExtent b="0" l="0" r="0" t="0"/>
            <wp:wrapTopAndBottom distB="0" dist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3258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rtl w:val="0"/>
        </w:rPr>
        <w:t xml:space="preserve">A Chave de transferência é utilizada para transferir energia entre duas fontes.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0"/>
          <w:szCs w:val="20"/>
          <w:rtl w:val="0"/>
        </w:rPr>
        <w:tab/>
        <w:t xml:space="preserve">Havendo queda de energia, a chave de transferência aciona o gerador para ligá-lo automaticamente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e também para horários pre programados (horários de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pico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2.1.2.1 Ajuste de programação do gerador 02</w:t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6: Programador do painel de transferência.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1434464</wp:posOffset>
            </wp:positionH>
            <wp:positionV relativeFrom="paragraph">
              <wp:posOffset>635</wp:posOffset>
            </wp:positionV>
            <wp:extent cx="3251200" cy="2438400"/>
            <wp:effectExtent b="0" l="0" r="0" t="0"/>
            <wp:wrapTopAndBottom distB="0" dist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color w:val="0000ff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Os dias da semana são informados em inglês, conforme tabela de relação existente no gerador 02. Os passos para iniciar a programação para ligar e desligar o gerador automaticamente, estão descritos na tabela 1 abaixo.</w:t>
      </w: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4020.0" w:type="dxa"/>
        <w:jc w:val="left"/>
        <w:tblInd w:w="3072.0000000000005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4020"/>
        <w:tblGridChange w:id="0">
          <w:tblGrid>
            <w:gridCol w:w="40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Ajustar para ligar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Ajuste dos dias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Timer + Day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Ajuste das horas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Hour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Ajuste dos minutos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Ajustar para desligar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Ajuste dos dias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Timer + Day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Ajuste das horas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Hour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Ajuste dos minutos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</w:tr>
    </w:tbl>
    <w:p w:rsidR="00000000" w:rsidDel="00000000" w:rsidP="00000000" w:rsidRDefault="00000000" w:rsidRPr="00000000" w14:paraId="0000003C">
      <w:pPr>
        <w:spacing w:line="360" w:lineRule="auto"/>
        <w:jc w:val="center"/>
        <w:rPr>
          <w:rFonts w:ascii="Arial" w:cs="Arial" w:eastAsia="Arial" w:hAnsi="Arial"/>
          <w:b w:val="0"/>
          <w:i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Tabela 1: Passos para programação do gerador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b w:val="0"/>
          <w:i w:val="0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ff3333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Quando programar o período desejado, clicar em </w:t>
      </w:r>
      <w:r w:rsidDel="00000000" w:rsidR="00000000" w:rsidRPr="00000000">
        <w:rPr>
          <w:rFonts w:ascii="Arial" w:cs="Arial" w:eastAsia="Arial" w:hAnsi="Arial"/>
          <w:b w:val="0"/>
          <w:i w:val="1"/>
          <w:sz w:val="20"/>
          <w:szCs w:val="20"/>
          <w:rtl w:val="0"/>
        </w:rPr>
        <w:t xml:space="preserve">clock</w:t>
      </w: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 e o programador entenderá que este será o período desejado. Podendo programar até 8 opções, sendo possível ligar uma vez por dia ou todos os dias.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O botão manual serve para ligar, desligar e selecionar a opção do modo automático. O programador deve estar sempre em modo automático, conforme imagem 7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Imagem 7: Exemplo de modo automático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1434464</wp:posOffset>
            </wp:positionH>
            <wp:positionV relativeFrom="paragraph">
              <wp:posOffset>635</wp:posOffset>
            </wp:positionV>
            <wp:extent cx="3251200" cy="2438400"/>
            <wp:effectExtent b="0" l="0" r="0" t="0"/>
            <wp:wrapTopAndBottom distB="0" dist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2.1.2.2 Chave seletora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 chave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seletora é utilizada quando a prestadora de energia elétrica do município informa horário previsto para desligamento da energia elétrica, para que não haja desligamento da energia da fábrica utiliza-se a chave seletora. 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8: visualização da chave seletora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1434464</wp:posOffset>
            </wp:positionH>
            <wp:positionV relativeFrom="paragraph">
              <wp:posOffset>635</wp:posOffset>
            </wp:positionV>
            <wp:extent cx="3251200" cy="2438400"/>
            <wp:effectExtent b="0" l="0" r="0" t="0"/>
            <wp:wrapTopAndBottom distB="0" dist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A chave seletora teste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encontra-se apontando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para o lado esquerdo, conforme imagem 8 acima. Para ativar o gerador em carga, posicionar o botão para lado direito, assim o gerador começará a produzir energia. Quando a energia elétrica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foi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restabelecida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, clicar no botão automático no gerador para ele começar o processo de parada voltando assim a energia externa,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verificar a imagem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 12.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i w:val="0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z w:val="20"/>
          <w:szCs w:val="20"/>
          <w:rtl w:val="0"/>
        </w:rPr>
        <w:t xml:space="preserve">2.1.2. 3 Painel da chave de transferência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painel da Chave de transferência indica a responsabilidade pelo fornecimento de energia (externa ou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gerador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), de acordo com Imagens 9 e 10.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9: Informação de abastecimento de energia externa (rede).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1250949</wp:posOffset>
            </wp:positionH>
            <wp:positionV relativeFrom="paragraph">
              <wp:posOffset>88900</wp:posOffset>
            </wp:positionV>
            <wp:extent cx="3618230" cy="1366520"/>
            <wp:effectExtent b="635" l="635" r="635" t="635"/>
            <wp:wrapTopAndBottom distB="0" dist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-375" l="-142" r="-141" t="-376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366520"/>
                    </a:xfrm>
                    <a:prstGeom prst="rect"/>
                    <a:ln w="63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10: Informação de abastecimento de energia do gerador.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1239202</wp:posOffset>
            </wp:positionH>
            <wp:positionV relativeFrom="paragraph">
              <wp:posOffset>36195</wp:posOffset>
            </wp:positionV>
            <wp:extent cx="3641725" cy="1422400"/>
            <wp:effectExtent b="635" l="635" r="635" t="635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-365" l="-143" r="-143" t="-366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422400"/>
                    </a:xfrm>
                    <a:prstGeom prst="rect"/>
                    <a:ln w="63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2.2 Funções básicas 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A maioria das funções dos geradores são acompanhadas e verificadas em seus painéis.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Painel do Gerador 02 tem como funções básicas ou alertas (Imagens 11 e 12):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Manual + Start: liga o gerador mas não libera energia para a rede, é apenas uma maneira de testar o funcionamento do gerador;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Auto: quando ligado, informa que o gerador está programado ou funcionando no modo automático e em caso de interrupção de energia externa ligará automaticamente;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CB Open: quando ligado, informa que a energia externa está sendo fornecida normalmente;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CB Close: quando ligado, alerta que a energia externa está interrompida;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Stop: parar/ desligar o gerador;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Stop + botão de segurança: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parar/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desligar o gerador.</w:t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11: Painel do Gerador 02.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123189</wp:posOffset>
            </wp:positionH>
            <wp:positionV relativeFrom="paragraph">
              <wp:posOffset>76200</wp:posOffset>
            </wp:positionV>
            <wp:extent cx="5778500" cy="2183765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183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977900</wp:posOffset>
                </wp:positionV>
                <wp:extent cx="629135" cy="52436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45940" y="3532320"/>
                          <a:ext cx="600120" cy="495360"/>
                        </a:xfrm>
                        <a:prstGeom prst="rect">
                          <a:avLst/>
                        </a:prstGeom>
                        <a:noFill/>
                        <a:ln cap="flat" cmpd="sng" w="284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977900</wp:posOffset>
                </wp:positionV>
                <wp:extent cx="629135" cy="52436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135" cy="524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12: Funções básicas/ alertas.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1339850</wp:posOffset>
            </wp:positionH>
            <wp:positionV relativeFrom="paragraph">
              <wp:posOffset>-19049</wp:posOffset>
            </wp:positionV>
            <wp:extent cx="3441065" cy="2749550"/>
            <wp:effectExtent b="0" l="0" r="0" t="0"/>
            <wp:wrapTopAndBottom distB="0" dist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274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ab/>
        <w:t xml:space="preserve">O Painel do Gerador 01 tem como funções básicas ou alertas (Imagens 13 e 14):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Manual (desenho mão)  + Verde: liga o gerador;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Botão vermelho ou botão de segurança: desliga o gerador.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03325" cy="3077494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325" cy="307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13: Painel do Gerador 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6119820" cy="20574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Imagem 14: Funções básicas.</w:t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3 RESPONSABILIDADE</w:t>
      </w:r>
    </w:p>
    <w:p w:rsidR="00000000" w:rsidDel="00000000" w:rsidP="00000000" w:rsidRDefault="00000000" w:rsidRPr="00000000" w14:paraId="00000069">
      <w:pPr>
        <w:spacing w:line="360" w:lineRule="auto"/>
        <w:ind w:left="0" w:right="0" w:firstLine="60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right="0" w:firstLine="60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Ao setor de Manutenção compete: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Realizar a limpeza dos locais onde estão instalados os geradores;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Repor o óleo diesel;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Programar previamente o Gerador 02 para que este ligue quando necessário (horários de pico, finais de semana ou feriados com expediente na área fabril). </w:t>
      </w: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Esta informação é enviada por software GLPI manutenção e/ou e-mail pelo coordenador de produção;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Inspecionar os geradores diariamente, atentando para potenciais problemas;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Realizar as trocas de óleo e filtros a cada 250h de trabalho dos Geradores;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Informar o setor de Compras quando necessária a solicitação de técnicos para reparos ou manutenções preventivas;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O gerador 01 deve ser ligado 01 vez por semana por, no mínimo, 10 minutos.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righ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Atenção: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O local próximo a área do gerador deve estar livre de qualquer material inflamável;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0"/>
          <w:sz w:val="20"/>
          <w:szCs w:val="20"/>
          <w:rtl w:val="0"/>
        </w:rPr>
        <w:t xml:space="preserve">O acesso à área dos geradores é restrito a colaboradores do setor de Manutenção. </w:t>
      </w:r>
    </w:p>
    <w:p w:rsidR="00000000" w:rsidDel="00000000" w:rsidP="00000000" w:rsidRDefault="00000000" w:rsidRPr="00000000" w14:paraId="00000076">
      <w:pPr>
        <w:spacing w:line="360" w:lineRule="auto"/>
        <w:ind w:left="720" w:firstLine="0"/>
        <w:jc w:val="both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4 REVISÕES EFETUADAS</w:t>
      </w:r>
    </w:p>
    <w:tbl>
      <w:tblPr>
        <w:tblStyle w:val="Table2"/>
        <w:tblW w:w="9599.0" w:type="dxa"/>
        <w:jc w:val="left"/>
        <w:tblInd w:w="-42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56"/>
        <w:gridCol w:w="1357"/>
        <w:gridCol w:w="6886"/>
        <w:tblGridChange w:id="0">
          <w:tblGrid>
            <w:gridCol w:w="1356"/>
            <w:gridCol w:w="1357"/>
            <w:gridCol w:w="6886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Revisão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Alteração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10/06/14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Emissão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29/06/16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line="240" w:lineRule="auto"/>
              <w:jc w:val="both"/>
              <w:rPr>
                <w:rFonts w:ascii="Arial" w:cs="Arial" w:eastAsia="Arial" w:hAnsi="Arial"/>
                <w:b w:val="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rtl w:val="0"/>
              </w:rPr>
              <w:t xml:space="preserve">Alterada imagem 1 do gerador 01 e acrescentada imagem 2. Alterado texto do item 2.1.2 e alterada imagem 3 do gerador 02. Acrescentado item 2.1.2.1 e 2.1.2.2. Acrescentadas informações no item 3. Acrescentado item 5.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17/04/2025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both"/>
              <w:rPr>
                <w:rFonts w:ascii="Arial" w:cs="Arial" w:eastAsia="Arial" w:hAnsi="Arial"/>
                <w:b w:val="0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Atualização das imagens 1, 2, 13 e 14.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5 APROVAÇÃO DO DOCUMENTO</w:t>
      </w:r>
    </w:p>
    <w:tbl>
      <w:tblPr>
        <w:tblStyle w:val="Table3"/>
        <w:tblW w:w="9680.0" w:type="dxa"/>
        <w:jc w:val="left"/>
        <w:tblInd w:w="-103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985"/>
        <w:gridCol w:w="3055"/>
        <w:gridCol w:w="3324"/>
        <w:gridCol w:w="1316"/>
        <w:tblGridChange w:id="0">
          <w:tblGrid>
            <w:gridCol w:w="1985"/>
            <w:gridCol w:w="3055"/>
            <w:gridCol w:w="3324"/>
            <w:gridCol w:w="131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PROCESSO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ASSINATURA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spacing w:line="36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DATA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spacing w:line="36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Aprovação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spacing w:line="3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spacing w:line="36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spacing w:line="36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line="36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2035" w:top="2710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iberation Sans"/>
  <w:font w:name="Liberation Serif"/>
  <w:font w:name="Hansom FY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9638.0" w:type="dxa"/>
      <w:jc w:val="left"/>
      <w:tblInd w:w="-54.0" w:type="dxa"/>
      <w:tblBorders>
        <w:top w:color="000000" w:space="0" w:sz="2" w:val="single"/>
        <w:left w:color="000000" w:space="0" w:sz="2" w:val="single"/>
        <w:bottom w:color="000000" w:space="0" w:sz="2" w:val="single"/>
        <w:right w:color="000000" w:space="0" w:sz="2" w:val="single"/>
        <w:insideH w:color="000000" w:space="0" w:sz="2" w:val="single"/>
        <w:insideV w:color="000000" w:space="0" w:sz="2" w:val="single"/>
      </w:tblBorders>
      <w:tblLayout w:type="fixed"/>
      <w:tblLook w:val="0000"/>
    </w:tblPr>
    <w:tblGrid>
      <w:gridCol w:w="9638"/>
      <w:tblGridChange w:id="0">
        <w:tblGrid>
          <w:gridCol w:w="9638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09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9645.0" w:type="dxa"/>
      <w:jc w:val="left"/>
      <w:tblInd w:w="-54.0" w:type="dxa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2150"/>
      <w:gridCol w:w="5215"/>
      <w:gridCol w:w="2280"/>
      <w:tblGridChange w:id="0">
        <w:tblGrid>
          <w:gridCol w:w="2150"/>
          <w:gridCol w:w="5215"/>
          <w:gridCol w:w="2280"/>
        </w:tblGrid>
      </w:tblGridChange>
    </w:tblGrid>
    <w:tr>
      <w:trPr>
        <w:cantSplit w:val="0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95">
          <w:pPr>
            <w:spacing w:line="36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48260</wp:posOffset>
                </wp:positionH>
                <wp:positionV relativeFrom="paragraph">
                  <wp:posOffset>52069</wp:posOffset>
                </wp:positionV>
                <wp:extent cx="1254760" cy="364490"/>
                <wp:effectExtent b="0" l="0" r="0" t="0"/>
                <wp:wrapSquare wrapText="bothSides" distB="0" distT="0" distL="0" distR="0"/>
                <wp:docPr id="1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-46" l="-13" r="-12" t="-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4760" cy="364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96">
          <w:pPr>
            <w:spacing w:line="360" w:lineRule="auto"/>
            <w:jc w:val="center"/>
            <w:rPr>
              <w:rFonts w:ascii="Hansom FY" w:cs="Hansom FY" w:eastAsia="Hansom FY" w:hAnsi="Hansom FY"/>
              <w:b w:val="1"/>
              <w:i w:val="0"/>
              <w:sz w:val="28"/>
              <w:szCs w:val="28"/>
            </w:rPr>
          </w:pPr>
          <w:r w:rsidDel="00000000" w:rsidR="00000000" w:rsidRPr="00000000">
            <w:rPr>
              <w:rFonts w:ascii="Hansom FY" w:cs="Hansom FY" w:eastAsia="Hansom FY" w:hAnsi="Hansom FY"/>
              <w:b w:val="1"/>
              <w:i w:val="0"/>
              <w:sz w:val="28"/>
              <w:szCs w:val="28"/>
              <w:rtl w:val="0"/>
            </w:rPr>
            <w:t xml:space="preserve">INSTRUÇÃO DE TRABALHO</w:t>
          </w:r>
        </w:p>
        <w:p w:rsidR="00000000" w:rsidDel="00000000" w:rsidP="00000000" w:rsidRDefault="00000000" w:rsidRPr="00000000" w14:paraId="00000097">
          <w:pPr>
            <w:spacing w:line="360" w:lineRule="auto"/>
            <w:jc w:val="center"/>
            <w:rPr>
              <w:rFonts w:ascii="Hansom FY" w:cs="Hansom FY" w:eastAsia="Hansom FY" w:hAnsi="Hansom FY"/>
              <w:b w:val="1"/>
              <w:i w:val="0"/>
              <w:sz w:val="28"/>
              <w:szCs w:val="28"/>
            </w:rPr>
          </w:pPr>
          <w:r w:rsidDel="00000000" w:rsidR="00000000" w:rsidRPr="00000000">
            <w:rPr>
              <w:rFonts w:ascii="Hansom FY" w:cs="Hansom FY" w:eastAsia="Hansom FY" w:hAnsi="Hansom FY"/>
              <w:b w:val="1"/>
              <w:i w:val="0"/>
              <w:sz w:val="28"/>
              <w:szCs w:val="28"/>
              <w:rtl w:val="0"/>
            </w:rPr>
            <w:t xml:space="preserve">GERADORES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Hansom FY" w:cs="Hansom FY" w:eastAsia="Hansom FY" w:hAnsi="Hansom FY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IT25 REV01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Hansom FY" w:cs="Hansom FY" w:eastAsia="Hansom FY" w:hAnsi="Hansom FY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Hansom FY" w:cs="Hansom FY" w:eastAsia="Hansom FY" w:hAnsi="Hansom FY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29/06/2016</w:t>
          </w:r>
        </w:p>
      </w:tc>
    </w:tr>
  </w:tbl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576" w:hanging="576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720" w:hanging="72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864" w:hanging="864"/>
    </w:pPr>
    <w:rPr>
      <w:rFonts w:ascii="Liberation Sans" w:cs="Liberation Sans" w:eastAsia="Liberation Sans" w:hAnsi="Liberation Sans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1008" w:hanging="1008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1152" w:hanging="1152"/>
    </w:pPr>
    <w:rPr>
      <w:rFonts w:ascii="Liberation Sans" w:cs="Liberation Sans" w:eastAsia="Liberation Sans" w:hAnsi="Liberation Sans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65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5.jpg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5.jpg"/><Relationship Id="rId18" Type="http://schemas.openxmlformats.org/officeDocument/2006/relationships/image" Target="media/image8.png"/><Relationship Id="rId7" Type="http://schemas.openxmlformats.org/officeDocument/2006/relationships/image" Target="media/image12.jpg"/><Relationship Id="rId8" Type="http://schemas.openxmlformats.org/officeDocument/2006/relationships/image" Target="media/image10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