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SUMÁRIO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r>
            <w:fldChar w:fldCharType="begin"/>
          </w:r>
          <w:r>
            <w:rPr>
              <w:lang w:val="pt-BR" w:eastAsia="pt-BR"/>
            </w:rPr>
            <w:instrText xml:space="preserve"> TOC \o "1-3" \h \z \u </w:instrText>
          </w:r>
          <w:r>
            <w:rPr>
              <w:lang w:val="pt-BR" w:eastAsia="pt-BR"/>
            </w:rPr>
            <w:fldChar w:fldCharType="separate"/>
          </w:r>
          <w:hyperlink w:anchor="__RefHeading___Toc193102496">
            <w:r>
              <w:rPr>
                <w:lang w:val="pt-BR" w:eastAsia="pt-BR"/>
              </w:rPr>
              <w:t>1 OBJETIVO E ABRANGÊNCIA</w:t>
              <w:tab/>
              <w:t>2</w:t>
            </w:r>
          </w:hyperlink>
        </w:p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497">
            <w:r>
              <w:rPr>
                <w:lang w:val="pt-BR" w:eastAsia="pt-BR"/>
              </w:rPr>
              <w:t>2 DOCUMENTOS RELACIONADOS</w:t>
              <w:tab/>
              <w:t>2</w:t>
            </w:r>
          </w:hyperlink>
        </w:p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498">
            <w:r>
              <w:rPr>
                <w:lang w:val="pt-BR" w:eastAsia="pt-BR"/>
              </w:rPr>
              <w:t>3 DEFINIÇÕES</w:t>
              <w:tab/>
              <w:t>3</w:t>
            </w:r>
          </w:hyperlink>
        </w:p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499">
            <w:r>
              <w:rPr>
                <w:lang w:val="pt-BR" w:eastAsia="pt-BR"/>
              </w:rPr>
              <w:t>4 AUDITORIA INTERNA</w:t>
              <w:tab/>
              <w:t>3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0">
            <w:r>
              <w:rPr>
                <w:rFonts w:cs="Arial" w:ascii="Arial" w:hAnsi="Arial"/>
                <w:lang w:val="pt-BR" w:eastAsia="pt-BR"/>
              </w:rPr>
              <w:t>4.1 Escopo da auditoria</w:t>
            </w:r>
            <w:r>
              <w:rPr>
                <w:lang w:val="pt-BR" w:eastAsia="pt-BR"/>
              </w:rPr>
              <w:tab/>
              <w:t>4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1">
            <w:r>
              <w:rPr>
                <w:rFonts w:cs="Arial" w:ascii="Arial" w:hAnsi="Arial"/>
                <w:lang w:val="pt-BR" w:eastAsia="pt-BR"/>
              </w:rPr>
              <w:t>4.2 Planejamento da auditoria</w:t>
            </w:r>
            <w:r>
              <w:rPr>
                <w:lang w:val="pt-BR" w:eastAsia="pt-BR"/>
              </w:rPr>
              <w:tab/>
              <w:t>4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2">
            <w:r>
              <w:rPr>
                <w:rFonts w:cs="Arial" w:ascii="Arial" w:hAnsi="Arial"/>
                <w:lang w:val="pt-BR" w:eastAsia="pt-BR"/>
              </w:rPr>
              <w:t>4.3 Frequência</w:t>
            </w:r>
            <w:r>
              <w:rPr>
                <w:lang w:val="pt-BR" w:eastAsia="pt-BR"/>
              </w:rPr>
              <w:tab/>
              <w:t>5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3">
            <w:r>
              <w:rPr>
                <w:rFonts w:cs="Arial" w:ascii="Arial" w:hAnsi="Arial"/>
                <w:lang w:val="pt-BR" w:eastAsia="pt-BR"/>
              </w:rPr>
              <w:t>4.4 Auditores internos</w:t>
            </w:r>
            <w:r>
              <w:rPr>
                <w:lang w:val="pt-BR" w:eastAsia="pt-BR"/>
              </w:rPr>
              <w:tab/>
              <w:t>6</w:t>
            </w:r>
          </w:hyperlink>
        </w:p>
        <w:p>
          <w:pPr>
            <w:pStyle w:val="TOC3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4">
            <w:r>
              <w:rPr>
                <w:rFonts w:cs="Arial" w:ascii="Arial" w:hAnsi="Arial"/>
                <w:bCs/>
                <w:lang w:val="pt-BR" w:eastAsia="pt-BR"/>
              </w:rPr>
              <w:t>4.4.1 Perfil do auditor interno</w:t>
            </w:r>
            <w:r>
              <w:rPr>
                <w:lang w:val="pt-BR" w:eastAsia="pt-BR"/>
              </w:rPr>
              <w:tab/>
              <w:t>6</w:t>
            </w:r>
          </w:hyperlink>
        </w:p>
        <w:p>
          <w:pPr>
            <w:pStyle w:val="TOC3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5">
            <w:r>
              <w:rPr>
                <w:rFonts w:cs="Arial" w:ascii="Arial" w:hAnsi="Arial"/>
                <w:bCs/>
                <w:lang w:val="pt-BR" w:eastAsia="pt-BR"/>
              </w:rPr>
              <w:t>4.4.1.1 Seleção de Auditores Internos</w:t>
            </w:r>
            <w:r>
              <w:rPr>
                <w:lang w:val="pt-BR" w:eastAsia="pt-BR"/>
              </w:rPr>
              <w:tab/>
              <w:t>7</w:t>
            </w:r>
          </w:hyperlink>
        </w:p>
        <w:p>
          <w:pPr>
            <w:pStyle w:val="TOC3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6">
            <w:r>
              <w:rPr>
                <w:rFonts w:cs="Arial" w:ascii="Arial" w:hAnsi="Arial"/>
                <w:bCs/>
                <w:lang w:val="pt-BR" w:eastAsia="pt-BR"/>
              </w:rPr>
              <w:t>4.4.2 Treinamento para os auditores internos</w:t>
            </w:r>
            <w:r>
              <w:rPr>
                <w:lang w:val="pt-BR" w:eastAsia="pt-BR"/>
              </w:rPr>
              <w:tab/>
              <w:t>8</w:t>
            </w:r>
          </w:hyperlink>
        </w:p>
        <w:p>
          <w:pPr>
            <w:pStyle w:val="TOC3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7">
            <w:r>
              <w:rPr>
                <w:rFonts w:cs="Arial" w:ascii="Arial" w:hAnsi="Arial"/>
                <w:bCs/>
                <w:lang w:val="pt-BR" w:eastAsia="pt-BR"/>
              </w:rPr>
              <w:t>4.4.3 Avaliação dos auditores</w:t>
            </w:r>
            <w:r>
              <w:rPr>
                <w:lang w:val="pt-BR" w:eastAsia="pt-BR"/>
              </w:rPr>
              <w:tab/>
              <w:t>8</w:t>
            </w:r>
          </w:hyperlink>
        </w:p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8">
            <w:r>
              <w:rPr>
                <w:lang w:val="pt-BR" w:eastAsia="pt-BR"/>
              </w:rPr>
              <w:t>4.5 Realização da auditoria</w:t>
              <w:tab/>
              <w:t>8</w:t>
            </w:r>
          </w:hyperlink>
        </w:p>
        <w:p>
          <w:pPr>
            <w:pStyle w:val="TOC3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09">
            <w:r>
              <w:rPr>
                <w:rFonts w:cs="Arial" w:ascii="Arial" w:hAnsi="Arial"/>
                <w:bCs/>
                <w:lang w:val="pt-BR" w:eastAsia="pt-BR"/>
              </w:rPr>
              <w:t>4.5.1 Técnicas de auditoria</w:t>
            </w:r>
            <w:r>
              <w:rPr>
                <w:lang w:val="pt-BR" w:eastAsia="pt-BR"/>
              </w:rPr>
              <w:tab/>
              <w:t>9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0">
            <w:r>
              <w:rPr>
                <w:rFonts w:cs="Arial" w:ascii="Arial" w:hAnsi="Arial"/>
                <w:bCs/>
                <w:lang w:val="pt-BR" w:eastAsia="pt-BR"/>
              </w:rPr>
              <w:t>4.5.2 Evidência</w:t>
            </w:r>
            <w:r>
              <w:rPr>
                <w:lang w:val="pt-BR" w:eastAsia="pt-BR"/>
              </w:rPr>
              <w:tab/>
              <w:t>9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1">
            <w:r>
              <w:rPr>
                <w:rFonts w:cs="Arial" w:ascii="Arial" w:hAnsi="Arial"/>
                <w:bCs/>
                <w:lang w:val="pt-BR" w:eastAsia="pt-BR"/>
              </w:rPr>
              <w:t>4.5.3 Amostragem</w:t>
            </w:r>
            <w:r>
              <w:rPr>
                <w:lang w:val="pt-BR" w:eastAsia="pt-BR"/>
              </w:rPr>
              <w:tab/>
              <w:t>10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2">
            <w:r>
              <w:rPr>
                <w:rFonts w:cs="Arial" w:ascii="Arial" w:hAnsi="Arial"/>
                <w:lang w:val="pt-BR" w:eastAsia="pt-BR"/>
              </w:rPr>
              <w:t>4.5.4 Matriz de aplicação de requisitos</w:t>
            </w:r>
            <w:r>
              <w:rPr>
                <w:lang w:val="pt-BR" w:eastAsia="pt-BR"/>
              </w:rPr>
              <w:tab/>
              <w:t>10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3">
            <w:r>
              <w:rPr>
                <w:rFonts w:cs="Arial" w:ascii="Arial" w:hAnsi="Arial"/>
                <w:lang w:val="pt-BR" w:eastAsia="pt-BR"/>
              </w:rPr>
              <w:t>4.6 Resultado da auditoria</w:t>
            </w:r>
            <w:r>
              <w:rPr>
                <w:lang w:val="pt-BR" w:eastAsia="pt-BR"/>
              </w:rPr>
              <w:tab/>
              <w:t>10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4">
            <w:r>
              <w:rPr>
                <w:rFonts w:cs="Arial" w:ascii="Arial" w:hAnsi="Arial"/>
                <w:lang w:val="pt-BR" w:eastAsia="pt-BR"/>
              </w:rPr>
              <w:t>4.7 Classificação das não conformidades</w:t>
            </w:r>
            <w:r>
              <w:rPr>
                <w:lang w:val="pt-BR" w:eastAsia="pt-BR"/>
              </w:rPr>
              <w:tab/>
              <w:t>19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5">
            <w:r>
              <w:rPr>
                <w:rFonts w:cs="Arial" w:ascii="Arial" w:hAnsi="Arial"/>
                <w:bCs/>
                <w:lang w:val="pt-BR" w:eastAsia="pt-BR"/>
              </w:rPr>
              <w:t>4.7.1 Não conformidade maior</w:t>
            </w:r>
            <w:r>
              <w:rPr>
                <w:lang w:val="pt-BR" w:eastAsia="pt-BR"/>
              </w:rPr>
              <w:tab/>
              <w:t>20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6">
            <w:r>
              <w:rPr>
                <w:rFonts w:cs="Arial" w:ascii="Arial" w:hAnsi="Arial"/>
                <w:bCs/>
                <w:lang w:val="pt-BR" w:eastAsia="pt-BR"/>
              </w:rPr>
              <w:t>4.7.2 Não conformidade menor</w:t>
            </w:r>
            <w:r>
              <w:rPr>
                <w:lang w:val="pt-BR" w:eastAsia="pt-BR"/>
              </w:rPr>
              <w:tab/>
              <w:t>20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7">
            <w:r>
              <w:rPr>
                <w:rFonts w:cs="Arial" w:ascii="Arial" w:hAnsi="Arial"/>
                <w:lang w:val="pt-BR" w:eastAsia="pt-BR"/>
              </w:rPr>
              <w:t>4.8 Finalização da auditoria interna</w:t>
            </w:r>
            <w:r>
              <w:rPr>
                <w:lang w:val="pt-BR" w:eastAsia="pt-BR"/>
              </w:rPr>
              <w:tab/>
              <w:t>21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8">
            <w:r>
              <w:rPr>
                <w:rFonts w:cs="Arial" w:ascii="Arial" w:hAnsi="Arial"/>
                <w:lang w:val="pt-BR" w:eastAsia="pt-BR"/>
              </w:rPr>
              <w:t>4.9 Relatório de Não conformidade</w:t>
            </w:r>
            <w:r>
              <w:rPr>
                <w:lang w:val="pt-BR" w:eastAsia="pt-BR"/>
              </w:rPr>
              <w:tab/>
              <w:t>21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19">
            <w:r>
              <w:rPr>
                <w:rFonts w:cs="Arial" w:ascii="Arial" w:hAnsi="Arial"/>
                <w:lang w:val="pt-BR" w:eastAsia="pt-BR"/>
              </w:rPr>
              <w:t>4.10 Análise do RNC</w:t>
            </w:r>
            <w:r>
              <w:rPr>
                <w:lang w:val="pt-BR" w:eastAsia="pt-BR"/>
              </w:rPr>
              <w:tab/>
              <w:t>26</w:t>
            </w:r>
          </w:hyperlink>
        </w:p>
        <w:p>
          <w:pPr>
            <w:pStyle w:val="TOC2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20">
            <w:r>
              <w:rPr>
                <w:rFonts w:cs="Arial" w:ascii="Arial" w:hAnsi="Arial"/>
                <w:lang w:val="pt-BR" w:eastAsia="pt-BR"/>
              </w:rPr>
              <w:t>4.11 Verificação da eficácia do RNC</w:t>
            </w:r>
            <w:r>
              <w:rPr>
                <w:lang w:val="pt-BR" w:eastAsia="pt-BR"/>
              </w:rPr>
              <w:tab/>
              <w:t>27</w:t>
            </w:r>
          </w:hyperlink>
        </w:p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21">
            <w:r>
              <w:rPr>
                <w:lang w:val="pt-BR" w:eastAsia="pt-BR"/>
              </w:rPr>
              <w:t>5 REVISÕES EFETUADAS</w:t>
              <w:tab/>
              <w:t>27</w:t>
            </w:r>
          </w:hyperlink>
        </w:p>
        <w:p>
          <w:pPr>
            <w:pStyle w:val="TOC1"/>
            <w:tabs>
              <w:tab w:val="clear" w:pos="709"/>
              <w:tab w:val="right" w:pos="9628" w:leader="dot"/>
            </w:tabs>
            <w:spacing w:before="0" w:after="0"/>
            <w:rPr>
              <w:kern w:val="2"/>
              <w:sz w:val="24"/>
              <w:szCs w:val="24"/>
              <w:lang w:val="pt-BR" w:eastAsia="pt-BR"/>
            </w:rPr>
          </w:pPr>
          <w:hyperlink w:anchor="__RefHeading___Toc193102522">
            <w:r>
              <w:rPr>
                <w:rFonts w:eastAsia="ArialMT;Arial"/>
                <w:lang w:val="pt-BR" w:eastAsia="pt-BR"/>
              </w:rPr>
              <w:t>6 APROVAÇÃO DO DOCUMENTO</w:t>
            </w:r>
            <w:r>
              <w:rPr>
                <w:lang w:val="pt-BR" w:eastAsia="pt-BR"/>
              </w:rPr>
              <w:tab/>
              <w:t>28</w:t>
            </w:r>
          </w:hyperlink>
          <w:r>
            <w:rPr>
              <w:lang w:val="pt-BR" w:eastAsia="pt-BR"/>
            </w:rPr>
            <w:fldChar w:fldCharType="end"/>
          </w:r>
        </w:p>
      </w:sdtContent>
    </w:sdt>
    <w:p>
      <w:pPr>
        <w:pStyle w:val="Normal"/>
        <w:spacing w:before="0" w:after="0"/>
        <w:rPr>
          <w:b/>
          <w:bCs/>
          <w:kern w:val="2"/>
          <w:sz w:val="24"/>
          <w:szCs w:val="24"/>
          <w:lang w:val="pt-BR" w:eastAsia="pt-BR"/>
        </w:rPr>
      </w:pPr>
      <w:r>
        <w:rPr>
          <w:b/>
          <w:bCs/>
          <w:kern w:val="2"/>
          <w:sz w:val="24"/>
          <w:szCs w:val="24"/>
          <w:lang w:val="pt-BR" w:eastAsia="pt-BR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Heading1"/>
        <w:spacing w:before="0" w:after="0"/>
        <w:ind w:hanging="0" w:start="0"/>
        <w:rPr/>
      </w:pPr>
      <w:bookmarkStart w:id="0" w:name="__RefHeading___Toc193102496"/>
      <w:bookmarkEnd w:id="0"/>
      <w:r>
        <w:rPr/>
        <w:t>1 OBJETIVO E ABRANGÊNCIA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Descrever as etapas relacionadas ao processo de auditoria interna do Sistema de Gestão da Qualidade da Rotoplastyc.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Heading1"/>
        <w:spacing w:before="0" w:after="0"/>
        <w:ind w:hanging="0" w:start="0"/>
        <w:rPr/>
      </w:pPr>
      <w:bookmarkStart w:id="1" w:name="__RefHeading___Toc193102497"/>
      <w:bookmarkEnd w:id="1"/>
      <w:r>
        <w:rPr/>
        <w:t>2 DOCUMENTOS RELACIONADOS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 xml:space="preserve">IT03 – </w:t>
      </w:r>
      <w:r>
        <w:rPr>
          <w:rFonts w:cs="Arial" w:ascii="Arial" w:hAnsi="Arial"/>
          <w:b/>
          <w:i/>
          <w:iCs/>
          <w:sz w:val="20"/>
          <w:szCs w:val="20"/>
        </w:rPr>
        <w:t>Relatório de Não Conformidade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color w:val="FF0000"/>
          <w:sz w:val="20"/>
          <w:szCs w:val="20"/>
        </w:rPr>
      </w:pPr>
      <w:r>
        <w:rPr>
          <w:rFonts w:cs="Arial" w:ascii="Arial" w:hAnsi="Arial"/>
          <w:b/>
          <w:color w:val="FF0000"/>
          <w:sz w:val="20"/>
          <w:szCs w:val="20"/>
        </w:rPr>
        <w:t xml:space="preserve">DS18 </w:t>
      </w:r>
      <w:r>
        <w:rPr>
          <w:rFonts w:cs="Arial" w:ascii="Arial" w:hAnsi="Arial"/>
          <w:b/>
          <w:bCs/>
          <w:i/>
          <w:iCs/>
          <w:color w:val="FF0000"/>
          <w:sz w:val="20"/>
          <w:szCs w:val="20"/>
        </w:rPr>
        <w:t>–</w:t>
      </w:r>
      <w:r>
        <w:rPr>
          <w:rFonts w:cs="Arial" w:ascii="Arial" w:hAnsi="Arial"/>
          <w:b/>
          <w:color w:val="FF0000"/>
          <w:sz w:val="20"/>
          <w:szCs w:val="20"/>
        </w:rPr>
        <w:t xml:space="preserve"> </w:t>
      </w:r>
      <w:r>
        <w:rPr>
          <w:rFonts w:cs="Arial" w:ascii="Arial" w:hAnsi="Arial"/>
          <w:b/>
          <w:i/>
          <w:iCs/>
          <w:color w:val="FF0000"/>
          <w:sz w:val="20"/>
          <w:szCs w:val="20"/>
        </w:rPr>
        <w:t>Matriz de Aplicação dos Requisitos da ISO9001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b/>
          <w:bCs/>
          <w:sz w:val="20"/>
          <w:szCs w:val="20"/>
        </w:rPr>
        <w:t xml:space="preserve">RQ31 </w:t>
      </w:r>
      <w:r>
        <w:rPr>
          <w:rFonts w:cs="Arial" w:ascii="Arial" w:hAnsi="Arial"/>
          <w:b/>
          <w:bCs/>
          <w:i/>
          <w:iCs/>
          <w:sz w:val="20"/>
          <w:szCs w:val="20"/>
        </w:rPr>
        <w:t>– Planejamento da Auditoria Interna de Sistema</w:t>
      </w:r>
      <w:r>
        <w:rPr>
          <w:rFonts w:cs="Arial" w:ascii="Arial" w:hAnsi="Arial"/>
          <w:b/>
          <w:bCs/>
          <w:sz w:val="20"/>
          <w:szCs w:val="20"/>
        </w:rPr>
        <w:t xml:space="preserve"> 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b/>
          <w:bCs/>
          <w:sz w:val="20"/>
          <w:szCs w:val="20"/>
        </w:rPr>
        <w:t xml:space="preserve">RQ32 – </w:t>
      </w:r>
      <w:r>
        <w:rPr>
          <w:rFonts w:cs="Arial" w:ascii="Arial" w:hAnsi="Arial"/>
          <w:b/>
          <w:bCs/>
          <w:i/>
          <w:iCs/>
          <w:sz w:val="20"/>
          <w:szCs w:val="20"/>
        </w:rPr>
        <w:t>Resultado da Auditoria Interna de Sistema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 xml:space="preserve">RQ42 – </w:t>
      </w:r>
      <w:r>
        <w:rPr>
          <w:rFonts w:cs="Arial" w:ascii="Arial" w:hAnsi="Arial"/>
          <w:b/>
          <w:bCs/>
          <w:i/>
          <w:iCs/>
          <w:sz w:val="20"/>
          <w:szCs w:val="20"/>
        </w:rPr>
        <w:t>Avaliação de desempenho de auditores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 xml:space="preserve">RQ198 – </w:t>
      </w:r>
      <w:r>
        <w:rPr>
          <w:rFonts w:cs="Arial" w:ascii="Arial" w:hAnsi="Arial"/>
          <w:b/>
          <w:bCs/>
          <w:i/>
          <w:iCs/>
          <w:sz w:val="20"/>
          <w:szCs w:val="20"/>
        </w:rPr>
        <w:t>Controle de emissão de RNCs.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Heading1"/>
        <w:spacing w:before="0" w:after="0"/>
        <w:ind w:hanging="0" w:start="0"/>
        <w:rPr/>
      </w:pPr>
      <w:bookmarkStart w:id="2" w:name="__RefHeading___Toc193102498"/>
      <w:bookmarkEnd w:id="2"/>
      <w:r>
        <w:rPr/>
        <w:t>3 DEFINIÇÕES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 xml:space="preserve">ISO </w:t>
      </w:r>
      <w:r>
        <w:rPr>
          <w:rFonts w:cs="Arial" w:ascii="Arial" w:hAnsi="Arial"/>
          <w:sz w:val="20"/>
          <w:szCs w:val="20"/>
        </w:rPr>
        <w:t>–</w:t>
      </w:r>
      <w:r>
        <w:rPr>
          <w:rFonts w:cs="Arial" w:ascii="Arial" w:hAnsi="Arial"/>
          <w:b/>
          <w:bCs/>
          <w:sz w:val="20"/>
          <w:szCs w:val="20"/>
        </w:rPr>
        <w:t xml:space="preserve"> </w:t>
      </w:r>
      <w:r>
        <w:rPr>
          <w:rFonts w:cs="Arial" w:ascii="Arial" w:hAnsi="Arial"/>
          <w:i/>
          <w:iCs/>
          <w:sz w:val="20"/>
          <w:szCs w:val="20"/>
        </w:rPr>
        <w:t>International Organization for Standardization (</w:t>
      </w:r>
      <w:r>
        <w:rPr>
          <w:rFonts w:cs="Arial" w:ascii="Arial" w:hAnsi="Arial"/>
          <w:sz w:val="20"/>
          <w:szCs w:val="20"/>
        </w:rPr>
        <w:t>Organização Internacional para Padronização)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IT</w:t>
      </w:r>
      <w:r>
        <w:rPr>
          <w:rFonts w:cs="Arial" w:ascii="Arial" w:hAnsi="Arial"/>
          <w:sz w:val="20"/>
          <w:szCs w:val="20"/>
        </w:rPr>
        <w:t xml:space="preserve"> –</w:t>
      </w:r>
      <w:r>
        <w:rPr>
          <w:rFonts w:cs="Arial" w:ascii="Arial" w:hAnsi="Arial"/>
          <w:b/>
          <w:bCs/>
          <w:sz w:val="20"/>
          <w:szCs w:val="20"/>
        </w:rPr>
        <w:t xml:space="preserve"> </w:t>
      </w:r>
      <w:r>
        <w:rPr>
          <w:rFonts w:cs="Arial" w:ascii="Arial" w:hAnsi="Arial"/>
          <w:sz w:val="20"/>
          <w:szCs w:val="20"/>
        </w:rPr>
        <w:t>Instrução de Trabalho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MQ</w:t>
      </w:r>
      <w:r>
        <w:rPr>
          <w:rFonts w:cs="Arial" w:ascii="Arial" w:hAnsi="Arial"/>
          <w:sz w:val="20"/>
          <w:szCs w:val="20"/>
        </w:rPr>
        <w:t xml:space="preserve"> – Manual da Qualidade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Não conformidade</w:t>
      </w:r>
      <w:r>
        <w:rPr>
          <w:rFonts w:cs="Arial" w:ascii="Arial" w:hAnsi="Arial"/>
          <w:sz w:val="20"/>
          <w:szCs w:val="20"/>
        </w:rPr>
        <w:t xml:space="preserve"> – não atendimento de um requisito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NC</w:t>
      </w:r>
      <w:r>
        <w:rPr>
          <w:rFonts w:cs="Arial" w:ascii="Arial" w:hAnsi="Arial"/>
          <w:sz w:val="20"/>
          <w:szCs w:val="20"/>
        </w:rPr>
        <w:t xml:space="preserve"> – Não conformidade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PQ</w:t>
      </w:r>
      <w:r>
        <w:rPr>
          <w:rFonts w:cs="Arial" w:ascii="Arial" w:hAnsi="Arial"/>
          <w:sz w:val="20"/>
          <w:szCs w:val="20"/>
        </w:rPr>
        <w:t xml:space="preserve"> – Procedimento de Qualidade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RNC</w:t>
      </w:r>
      <w:r>
        <w:rPr>
          <w:rFonts w:cs="Arial" w:ascii="Arial" w:hAnsi="Arial"/>
          <w:sz w:val="20"/>
          <w:szCs w:val="20"/>
        </w:rPr>
        <w:t xml:space="preserve"> – Relatório de Não Conformidade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RQ</w:t>
      </w:r>
      <w:r>
        <w:rPr>
          <w:rFonts w:cs="Arial" w:ascii="Arial" w:hAnsi="Arial"/>
          <w:sz w:val="20"/>
          <w:szCs w:val="20"/>
        </w:rPr>
        <w:t xml:space="preserve"> – Registro de Qualidade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Arial" w:ascii="Arial" w:hAnsi="Arial"/>
          <w:b/>
          <w:bCs/>
          <w:sz w:val="20"/>
          <w:szCs w:val="20"/>
        </w:rPr>
        <w:t xml:space="preserve">SGQ </w:t>
      </w:r>
      <w:r>
        <w:rPr>
          <w:rFonts w:cs="Arial" w:ascii="Arial" w:hAnsi="Arial"/>
          <w:sz w:val="20"/>
          <w:szCs w:val="20"/>
        </w:rPr>
        <w:t>–</w:t>
      </w:r>
      <w:r>
        <w:rPr>
          <w:rFonts w:cs="Arial" w:ascii="Arial" w:hAnsi="Arial"/>
          <w:b/>
          <w:bCs/>
          <w:sz w:val="20"/>
          <w:szCs w:val="20"/>
        </w:rPr>
        <w:t xml:space="preserve"> </w:t>
      </w:r>
      <w:r>
        <w:rPr>
          <w:rFonts w:cs="Arial" w:ascii="Arial" w:hAnsi="Arial"/>
          <w:bCs/>
          <w:sz w:val="20"/>
          <w:szCs w:val="20"/>
        </w:rPr>
        <w:t>Sistema de Gestão da Qualidade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1"/>
        <w:spacing w:before="0" w:after="0"/>
        <w:ind w:hanging="0" w:start="0"/>
        <w:rPr>
          <w:rFonts w:cs="Liberation Serif"/>
        </w:rPr>
      </w:pPr>
      <w:bookmarkStart w:id="3" w:name="__RefHeading___Toc193102499"/>
      <w:bookmarkEnd w:id="3"/>
      <w:r>
        <w:rPr/>
        <w:t>4 AUDITORIA INTERNA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 auditoria interna do Sistema de Gestão da Qualidade tem como objetivo principal a avaliação, de forma amostral, do grau de conformidade dos processos da Rotoplastyc em relação ao padrão normativo ISO 9001.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Além do objetivo principal, a auditoria interna visa:</w:t>
      </w:r>
    </w:p>
    <w:p>
      <w:pPr>
        <w:pStyle w:val="Normal"/>
        <w:numPr>
          <w:ilvl w:val="0"/>
          <w:numId w:val="9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Avaliar o nível de controles internos da Rotoplastyc;</w:t>
      </w:r>
    </w:p>
    <w:p>
      <w:pPr>
        <w:pStyle w:val="Normal"/>
        <w:numPr>
          <w:ilvl w:val="0"/>
          <w:numId w:val="9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Constatar a adesão aos procedimentos e diretrizes estabelecidas pela organização;</w:t>
      </w:r>
    </w:p>
    <w:p>
      <w:pPr>
        <w:pStyle w:val="Normal"/>
        <w:numPr>
          <w:ilvl w:val="0"/>
          <w:numId w:val="9"/>
        </w:numPr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Identificar e recomendar melhorias.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A auditoria interna é realizada através do confronto entre a situação encontrada e o requisito normativo, operacional ou técnico definido.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2"/>
        <w:spacing w:before="0" w:after="0"/>
        <w:ind w:hanging="0" w:start="0"/>
        <w:rPr>
          <w:rFonts w:ascii="Arial" w:hAnsi="Arial" w:eastAsia="Times New Roman" w:cs="Arial"/>
          <w:sz w:val="20"/>
          <w:szCs w:val="20"/>
        </w:rPr>
      </w:pPr>
      <w:bookmarkStart w:id="4" w:name="__RefHeading___Toc193102500"/>
      <w:bookmarkEnd w:id="4"/>
      <w:r>
        <w:rPr>
          <w:rFonts w:eastAsia="Times New Roman" w:cs="Arial" w:ascii="Arial" w:hAnsi="Arial"/>
          <w:sz w:val="20"/>
          <w:szCs w:val="20"/>
        </w:rPr>
        <w:t>4.1 Escopo da auditoria</w:t>
      </w:r>
    </w:p>
    <w:p>
      <w:pPr>
        <w:pStyle w:val="Normal"/>
        <w:spacing w:lineRule="auto" w:line="360" w:before="0" w:after="0"/>
        <w:jc w:val="both"/>
        <w:rPr>
          <w:rFonts w:ascii="Arial" w:hAnsi="Arial" w:eastAsia="Times New Roman" w:cs="Arial"/>
          <w:b/>
          <w:bCs/>
          <w:sz w:val="20"/>
          <w:szCs w:val="20"/>
        </w:rPr>
      </w:pPr>
      <w:r>
        <w:rPr>
          <w:rFonts w:eastAsia="Times New Roman"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escopo da auditoria interna está voltado à avaliação: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Da adequação do sistema implementado em relação ao padrão normativo ISO 9001;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Do funcionamento e </w:t>
      </w:r>
      <w:r>
        <w:rPr>
          <w:rFonts w:cs="Arial" w:ascii="Arial" w:hAnsi="Arial"/>
          <w:sz w:val="20"/>
          <w:szCs w:val="20"/>
          <w:u w:val="single"/>
        </w:rPr>
        <w:t>conformidade</w:t>
      </w:r>
      <w:r>
        <w:rPr>
          <w:rFonts w:cs="Arial" w:ascii="Arial" w:hAnsi="Arial"/>
          <w:sz w:val="20"/>
          <w:szCs w:val="20"/>
        </w:rPr>
        <w:t xml:space="preserve"> dos processos em relação ao planejado;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Do cumprimento de requisitos específicos da Rotoplastyc.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A avaliação de tais itens é baseada em documentos designados como necessários à organização. São verificados o Manual da Qualidade, Procedimentos de Qualidade, Instruções de Trabalho, Documentos de Sistema, Registros de Qualidade e padrões normativos.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2"/>
        <w:spacing w:before="0" w:after="0"/>
        <w:ind w:hanging="0" w:start="0"/>
        <w:rPr>
          <w:rFonts w:ascii="Arial" w:hAnsi="Arial" w:eastAsia="Times New Roman" w:cs="Arial"/>
          <w:sz w:val="20"/>
          <w:szCs w:val="20"/>
        </w:rPr>
      </w:pPr>
      <w:bookmarkStart w:id="5" w:name="__RefHeading___Toc193102501"/>
      <w:bookmarkEnd w:id="5"/>
      <w:r>
        <w:rPr>
          <w:rFonts w:eastAsia="Times New Roman" w:cs="Arial" w:ascii="Arial" w:hAnsi="Arial"/>
          <w:sz w:val="20"/>
          <w:szCs w:val="20"/>
        </w:rPr>
        <w:t>4.2 Planejamento da auditoria</w:t>
      </w:r>
    </w:p>
    <w:p>
      <w:pPr>
        <w:pStyle w:val="Normal"/>
        <w:spacing w:lineRule="auto" w:line="360" w:before="0" w:after="0"/>
        <w:jc w:val="both"/>
        <w:rPr>
          <w:rFonts w:ascii="Arial" w:hAnsi="Arial" w:eastAsia="Times New Roman" w:cs="Liberation Serif"/>
          <w:sz w:val="20"/>
          <w:szCs w:val="20"/>
        </w:rPr>
      </w:pPr>
      <w:r>
        <w:rPr>
          <w:rFonts w:eastAsia="Times New Roman" w:cs="Liberation Serif" w:ascii="Arial" w:hAnsi="Arial"/>
          <w:sz w:val="20"/>
          <w:szCs w:val="20"/>
        </w:rPr>
      </w:r>
    </w:p>
    <w:p>
      <w:pPr>
        <w:pStyle w:val="Normal"/>
        <w:spacing w:lineRule="auto" w:line="360" w:before="0" w:after="0"/>
        <w:ind w:firstLine="601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O SGQ é responsável pelo planejamento da auditoria interna, via </w:t>
      </w:r>
      <w:r>
        <w:rPr>
          <w:rFonts w:cs="Arial" w:ascii="Arial" w:hAnsi="Arial"/>
          <w:b/>
          <w:bCs/>
          <w:sz w:val="20"/>
          <w:szCs w:val="20"/>
        </w:rPr>
        <w:t>RQ31 - Planejamento da Auditoria Interna de Sistema</w:t>
      </w:r>
      <w:r>
        <w:rPr>
          <w:rFonts w:cs="Arial" w:ascii="Arial" w:hAnsi="Arial"/>
          <w:sz w:val="20"/>
          <w:szCs w:val="20"/>
        </w:rPr>
        <w:t>, que contém:</w:t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período da auditoria;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 programação estimada (tempo necessário);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 designação dos auditores;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horário, local e data das reuniões de abertura e encerramento;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número da auditoria para identificação da mesma no Tecnicon;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Os processos a serem auditados e a designação dos respectivos auditores;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Documentos aplicáveis a cada processo (MQ, PQ, IT);</w:t>
      </w:r>
    </w:p>
    <w:p>
      <w:pPr>
        <w:pStyle w:val="Normal"/>
        <w:numPr>
          <w:ilvl w:val="0"/>
          <w:numId w:val="6"/>
        </w:numPr>
        <w:spacing w:lineRule="auto" w:line="360" w:before="0" w:after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Itens da norma aplicáveis ao processo.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Planejamento da auditoria deve ser realizado de forma que não haja conflito de interesse entre auditores e processos auditados.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 xml:space="preserve">O </w:t>
      </w:r>
      <w:r>
        <w:rPr>
          <w:rFonts w:cs="Arial" w:ascii="Arial" w:hAnsi="Arial"/>
          <w:b/>
          <w:bCs/>
          <w:sz w:val="20"/>
          <w:szCs w:val="20"/>
        </w:rPr>
        <w:t xml:space="preserve">RQ31 - Planejamento da Auditoria Interna de Sistema </w:t>
      </w:r>
      <w:r>
        <w:rPr>
          <w:rFonts w:cs="Arial" w:ascii="Arial" w:hAnsi="Arial"/>
          <w:sz w:val="20"/>
          <w:szCs w:val="20"/>
        </w:rPr>
        <w:t>é divulgado aos representantes dos setores a serem auditados.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</w:rPr>
      </w:pPr>
      <w:bookmarkStart w:id="6" w:name="__RefHeading___Toc193102502"/>
      <w:bookmarkEnd w:id="6"/>
      <w:r>
        <w:rPr>
          <w:rFonts w:eastAsia="Times New Roman" w:cs="Arial" w:ascii="Arial" w:hAnsi="Arial"/>
          <w:sz w:val="20"/>
          <w:szCs w:val="20"/>
        </w:rPr>
        <w:t>4.3 Frequência</w:t>
      </w:r>
    </w:p>
    <w:p>
      <w:pPr>
        <w:pStyle w:val="Normal"/>
        <w:spacing w:lineRule="auto" w:line="360" w:before="0" w:after="0"/>
        <w:ind w:firstLine="601" w:end="0"/>
        <w:jc w:val="both"/>
        <w:rPr>
          <w:rFonts w:eastAsia="Times New Roman" w:cs="Liberation Serif"/>
        </w:rPr>
      </w:pPr>
      <w:r>
        <w:rPr>
          <w:rFonts w:eastAsia="Times New Roman" w:cs="Liberation Serif"/>
        </w:rPr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 auditoria interna ocorre uma ou duas vezes ao ano, de acordo com resultados atingidos em auditorias anteriores.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Durante o planejamento anual, o SGQ deve programar a auditoria interna de forma que todos os processos da empresa sejam auditados </w:t>
      </w:r>
      <w:r>
        <w:rPr>
          <w:rFonts w:cs="Arial" w:ascii="Arial" w:hAnsi="Arial"/>
          <w:b/>
          <w:bCs/>
          <w:sz w:val="20"/>
          <w:szCs w:val="20"/>
        </w:rPr>
        <w:t>pelo menos</w:t>
      </w:r>
      <w:r>
        <w:rPr>
          <w:rFonts w:cs="Arial" w:ascii="Arial" w:hAnsi="Arial"/>
          <w:sz w:val="20"/>
          <w:szCs w:val="20"/>
        </w:rPr>
        <w:t xml:space="preserve"> </w:t>
      </w:r>
      <w:r>
        <w:rPr>
          <w:rFonts w:cs="Arial" w:ascii="Arial" w:hAnsi="Arial"/>
          <w:b/>
          <w:bCs/>
          <w:sz w:val="20"/>
          <w:szCs w:val="20"/>
        </w:rPr>
        <w:t>uma vez ao ano.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Podem acontecer auditorias extraordinárias quando houver alguma razão que coloque em dúvida a eficácia do sistema ou em caso de dúvidas quanto à conformidade dos setores com a política ou procedimentos estabelecidos.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</w:rPr>
      </w:pPr>
      <w:bookmarkStart w:id="7" w:name="__RefHeading___Toc193102503"/>
      <w:bookmarkEnd w:id="7"/>
      <w:r>
        <w:rPr>
          <w:rFonts w:eastAsia="Times New Roman" w:cs="Arial" w:ascii="Arial" w:hAnsi="Arial"/>
          <w:sz w:val="20"/>
          <w:szCs w:val="20"/>
        </w:rPr>
        <w:t>4.4 Auditores internos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</w:rPr>
      </w:pPr>
      <w:r>
        <w:rPr>
          <w:rFonts w:eastAsia="Times New Roman" w:cs="Liberation Serif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Auditores internos são colaboradores da Rotoplastyc que eventualmente contribuem com o processo de auditoria interna por possuírem os critérios necessários para essa atividade, conforme item </w:t>
      </w:r>
      <w:r>
        <w:rPr>
          <w:rFonts w:cs="Arial" w:ascii="Arial" w:hAnsi="Arial"/>
          <w:b/>
          <w:bCs/>
          <w:sz w:val="20"/>
          <w:szCs w:val="20"/>
        </w:rPr>
        <w:t xml:space="preserve">“perfil do auditor interno – a) critérios” </w:t>
      </w:r>
      <w:r>
        <w:rPr>
          <w:rFonts w:cs="Arial" w:ascii="Arial" w:hAnsi="Arial"/>
          <w:sz w:val="20"/>
          <w:szCs w:val="20"/>
        </w:rPr>
        <w:t>desta instrução de trabalho.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Heading3"/>
        <w:spacing w:before="0" w:after="0"/>
        <w:ind w:hanging="0" w:start="0"/>
        <w:rPr>
          <w:rFonts w:ascii="Arial" w:hAnsi="Arial" w:eastAsia="Times New Roman" w:cs="Arial"/>
          <w:b/>
          <w:color w:val="000000"/>
          <w:sz w:val="20"/>
          <w:szCs w:val="20"/>
        </w:rPr>
      </w:pPr>
      <w:bookmarkStart w:id="8" w:name="__RefHeading___Toc193102504"/>
      <w:bookmarkEnd w:id="8"/>
      <w:r>
        <w:rPr>
          <w:rFonts w:eastAsia="Times New Roman" w:cs="Arial" w:ascii="Arial" w:hAnsi="Arial"/>
          <w:b/>
          <w:color w:val="000000"/>
          <w:sz w:val="20"/>
          <w:szCs w:val="20"/>
        </w:rPr>
        <w:t>4.4.1 Perfil do auditor interno</w:t>
      </w:r>
    </w:p>
    <w:p>
      <w:pPr>
        <w:pStyle w:val="Normal"/>
        <w:spacing w:lineRule="auto" w:line="360" w:before="0" w:after="0"/>
        <w:jc w:val="both"/>
        <w:rPr>
          <w:rFonts w:ascii="Arial" w:hAnsi="Arial" w:eastAsia="Times New Roman" w:cs="Arial"/>
          <w:b/>
          <w:color w:val="000000"/>
          <w:sz w:val="20"/>
          <w:szCs w:val="20"/>
        </w:rPr>
      </w:pPr>
      <w:r>
        <w:rPr>
          <w:rFonts w:eastAsia="Times New Roman" w:cs="Arial" w:ascii="Arial" w:hAnsi="Arial"/>
          <w:b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a) Critérios</w:t>
      </w:r>
    </w:p>
    <w:p>
      <w:pPr>
        <w:pStyle w:val="Normal"/>
        <w:spacing w:lineRule="auto" w:line="360" w:before="0" w:after="0"/>
        <w:ind w:firstLine="360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Para estar apto a participar da auditoria como Auditor Interno, o colaborador deve atender aos seguintes critérios: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Ensino Médio completo;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Ter realizado o Treinamento de Formação de Auditor Interno do Sistema de Gestão da Qualidade na norma vigente;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Conhecer os requisitos da ISO 9001 na versão atualizada da norma;</w:t>
      </w:r>
    </w:p>
    <w:p>
      <w:pPr>
        <w:pStyle w:val="Normal"/>
        <w:numPr>
          <w:ilvl w:val="0"/>
          <w:numId w:val="8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Não ter responsabilidade direta sob as áreas a serem auditadas.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b) Conduta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 prática do trabalho do auditor interno deve contemplar:</w:t>
      </w:r>
    </w:p>
    <w:p>
      <w:pPr>
        <w:pStyle w:val="Normal"/>
        <w:numPr>
          <w:ilvl w:val="0"/>
          <w:numId w:val="7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Cuidado na utilização e proteção das informações obtidas durante a auditoria;</w:t>
      </w:r>
    </w:p>
    <w:p>
      <w:pPr>
        <w:pStyle w:val="Normal"/>
        <w:numPr>
          <w:ilvl w:val="0"/>
          <w:numId w:val="7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Independência que o permita promover julgamentos imparciais e sem preconceitos;</w:t>
      </w:r>
    </w:p>
    <w:p>
      <w:pPr>
        <w:pStyle w:val="Normal"/>
        <w:numPr>
          <w:ilvl w:val="0"/>
          <w:numId w:val="7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Equilíbrio na avaliação das circunstâncias, principalmente quanto a sua relevância;</w:t>
      </w:r>
    </w:p>
    <w:p>
      <w:pPr>
        <w:pStyle w:val="Normal"/>
        <w:numPr>
          <w:ilvl w:val="0"/>
          <w:numId w:val="7"/>
        </w:numPr>
        <w:spacing w:lineRule="auto" w:line="360" w:before="0" w:after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Abordagem baseada em evidências para o alcance de conclusões confiáveis.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  <w:t>c) Orientação à estratégia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Os auditores internos, importantes para o fortalecimento institucional a longo prazo, deverão ter clareza sobre a visão e os valores da Rotoplastyc. Sua conduta na empresa deve ser orientada a resultados, onde destacam-se os valores: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Comprometimento ético com o auditado;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Bom senso e justiça;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Trabalho em equipe;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Obediência às normas internas;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Qualidade e profissionalismo;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Gestão participativa;</w:t>
      </w:r>
    </w:p>
    <w:p>
      <w:pPr>
        <w:pStyle w:val="Normal"/>
        <w:numPr>
          <w:ilvl w:val="0"/>
          <w:numId w:val="10"/>
        </w:numPr>
        <w:spacing w:lineRule="auto" w:line="360" w:before="0" w:after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Melhoria contínua.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p>
      <w:pPr>
        <w:pStyle w:val="Heading3"/>
        <w:spacing w:before="0" w:after="0"/>
        <w:ind w:hanging="0" w:start="0"/>
        <w:rPr>
          <w:rFonts w:ascii="Arial" w:hAnsi="Arial" w:eastAsia="Times New Roman" w:cs="Arial"/>
          <w:b/>
          <w:color w:val="000000"/>
          <w:sz w:val="20"/>
          <w:szCs w:val="20"/>
        </w:rPr>
      </w:pPr>
      <w:bookmarkStart w:id="9" w:name="__RefHeading___Toc193102505"/>
      <w:bookmarkEnd w:id="9"/>
      <w:r>
        <w:rPr>
          <w:rFonts w:eastAsia="Times New Roman" w:cs="Arial" w:ascii="Arial" w:hAnsi="Arial"/>
          <w:b/>
          <w:color w:val="000000"/>
          <w:sz w:val="20"/>
          <w:szCs w:val="20"/>
        </w:rPr>
        <w:t>4.4.1.1 Seleção de Auditores Internos</w:t>
      </w:r>
    </w:p>
    <w:p>
      <w:pPr>
        <w:pStyle w:val="BodyText"/>
        <w:spacing w:before="0" w:after="0"/>
        <w:rPr>
          <w:rFonts w:ascii="Arial" w:hAnsi="Arial" w:eastAsia="Times New Roman" w:cs="Arial"/>
          <w:b/>
          <w:color w:val="000000"/>
          <w:sz w:val="20"/>
          <w:szCs w:val="20"/>
        </w:rPr>
      </w:pPr>
      <w:r>
        <w:rPr>
          <w:rFonts w:eastAsia="Times New Roman" w:cs="Arial" w:ascii="Arial" w:hAnsi="Arial"/>
          <w:b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bCs/>
          <w:sz w:val="20"/>
          <w:szCs w:val="20"/>
        </w:rPr>
      </w:pPr>
      <w:r>
        <w:rPr>
          <w:rFonts w:cs="Arial" w:ascii="Arial" w:hAnsi="Arial"/>
          <w:bCs/>
          <w:sz w:val="20"/>
          <w:szCs w:val="20"/>
        </w:rPr>
        <w:t>A seleção de novos auditores é realizada através de uma solicitação de indicação aos gestores dos setores, que ao indicarem os participantes, posteriormente o SGQ faz o convite individualmente a cada escolhido.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Cs/>
          <w:sz w:val="20"/>
          <w:szCs w:val="20"/>
        </w:rPr>
      </w:pPr>
      <w:r>
        <w:rPr>
          <w:rFonts w:cs="Arial" w:ascii="Arial" w:hAnsi="Arial"/>
          <w:bCs/>
          <w:sz w:val="20"/>
          <w:szCs w:val="20"/>
        </w:rPr>
      </w:r>
    </w:p>
    <w:p>
      <w:pPr>
        <w:pStyle w:val="Heading3"/>
        <w:spacing w:before="0" w:after="0"/>
        <w:ind w:hanging="0" w:start="0"/>
        <w:rPr>
          <w:rFonts w:ascii="Arial" w:hAnsi="Arial" w:eastAsia="Times New Roman" w:cs="Arial"/>
          <w:b/>
          <w:color w:val="000000"/>
          <w:sz w:val="20"/>
          <w:szCs w:val="20"/>
        </w:rPr>
      </w:pPr>
      <w:bookmarkStart w:id="10" w:name="__RefHeading___Toc193102506"/>
      <w:bookmarkEnd w:id="10"/>
      <w:r>
        <w:rPr>
          <w:rFonts w:eastAsia="Times New Roman" w:cs="Arial" w:ascii="Arial" w:hAnsi="Arial"/>
          <w:b/>
          <w:color w:val="000000"/>
          <w:sz w:val="20"/>
          <w:szCs w:val="20"/>
        </w:rPr>
        <w:t>4.4.2 Treinamento para os auditores internos</w:t>
      </w:r>
    </w:p>
    <w:p>
      <w:pPr>
        <w:pStyle w:val="BodyText"/>
        <w:spacing w:before="0" w:after="0"/>
        <w:rPr>
          <w:rFonts w:ascii="Arial" w:hAnsi="Arial" w:eastAsia="Times New Roman" w:cs="Arial"/>
          <w:b/>
          <w:color w:val="000000"/>
          <w:sz w:val="20"/>
          <w:szCs w:val="20"/>
        </w:rPr>
      </w:pPr>
      <w:r>
        <w:rPr>
          <w:rFonts w:eastAsia="Times New Roman" w:cs="Arial" w:ascii="Arial" w:hAnsi="Arial"/>
          <w:b/>
          <w:color w:val="000000"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ab/>
        <w:t xml:space="preserve">O SGQ realiza o treinamento de formação de auditores internos. Os novos auditores devem obrigatoriamente realizar o treinamento. Os auditores internos que já tiverem realizado o treinamento a realização do mesmo para reciclagem é opcional. 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Heading3"/>
        <w:spacing w:before="0" w:after="0"/>
        <w:ind w:hanging="0" w:start="0"/>
        <w:rPr>
          <w:rFonts w:eastAsia="Times New Roman" w:cs="Liberation Serif"/>
          <w:b/>
          <w:color w:val="000000"/>
        </w:rPr>
      </w:pPr>
      <w:bookmarkStart w:id="11" w:name="__RefHeading___Toc193102507"/>
      <w:bookmarkEnd w:id="11"/>
      <w:r>
        <w:rPr>
          <w:rFonts w:eastAsia="Times New Roman" w:cs="Arial" w:ascii="Arial" w:hAnsi="Arial"/>
          <w:b/>
          <w:color w:val="000000"/>
          <w:sz w:val="20"/>
          <w:szCs w:val="20"/>
        </w:rPr>
        <w:t>4.4.3 Avaliação dos auditores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  <w:b/>
          <w:color w:val="000000"/>
        </w:rPr>
      </w:pPr>
      <w:r>
        <w:rPr>
          <w:rFonts w:eastAsia="Times New Roman" w:cs="Liberation Serif"/>
          <w:b/>
          <w:color w:val="000000"/>
        </w:rPr>
      </w:r>
    </w:p>
    <w:p>
      <w:pPr>
        <w:pStyle w:val="Normal"/>
        <w:spacing w:lineRule="auto" w:line="360" w:before="0" w:after="0"/>
        <w:ind w:firstLine="601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A avaliação dos auditores internos é realizada posteriormente a auditoria e registrada no </w:t>
      </w:r>
      <w:r>
        <w:rPr>
          <w:rFonts w:cs="Arial" w:ascii="Arial" w:hAnsi="Arial"/>
          <w:b/>
          <w:bCs/>
          <w:sz w:val="20"/>
          <w:szCs w:val="20"/>
        </w:rPr>
        <w:t>RQ42 - Avaliação de desempenho de auditores.</w:t>
      </w:r>
    </w:p>
    <w:p>
      <w:pPr>
        <w:pStyle w:val="Normal"/>
        <w:spacing w:lineRule="auto" w:line="360" w:before="0" w:after="0"/>
        <w:ind w:firstLine="601" w:end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A avaliação é realizada pelo SGQ, com base no trabalho e postura realizados ao longo de todo o processo de auditoria (planejamento, realização, registro, fechamento, conduta).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1"/>
        <w:spacing w:before="0" w:after="0"/>
        <w:ind w:hanging="0" w:start="0"/>
        <w:rPr/>
      </w:pPr>
      <w:bookmarkStart w:id="12" w:name="__RefHeading___Toc193102508"/>
      <w:bookmarkEnd w:id="12"/>
      <w:r>
        <w:rPr/>
        <w:t>4.5 Realização da auditoria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  <w:t>A auditoria é realizada pelos auditores internos, que cumprem o previsto no escopo de auditoria, conforme o item “Escopo da auditoria”. A realização segue o definido no RQ31 - Planejamento da Auditoria Interna de Sistema.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Ao final do processo de auditoria, os auditores devem enviar o relatório da auditoria para o SGQ, que fará o registro no sistema Tecnicon, conforme descrito no item “</w:t>
      </w:r>
      <w:r>
        <w:rPr>
          <w:rFonts w:cs="Arial" w:ascii="Arial" w:hAnsi="Arial"/>
          <w:b/>
          <w:bCs/>
          <w:sz w:val="20"/>
          <w:szCs w:val="20"/>
        </w:rPr>
        <w:t>Resultado da auditoria”</w:t>
      </w:r>
      <w:r>
        <w:rPr>
          <w:rFonts w:cs="Arial" w:ascii="Arial" w:hAnsi="Arial"/>
          <w:sz w:val="20"/>
          <w:szCs w:val="20"/>
        </w:rPr>
        <w:t xml:space="preserve"> desta instrução de trabalho</w:t>
      </w:r>
      <w:r>
        <w:rPr>
          <w:rFonts w:cs="Arial" w:ascii="Arial" w:hAnsi="Arial"/>
          <w:b/>
          <w:bCs/>
          <w:sz w:val="20"/>
          <w:szCs w:val="20"/>
        </w:rPr>
        <w:t>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Podem ser realizadas reuniões entre auditores durante a auditoria, para identificar problemas significativos e definir ações imediatas.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O responsável pela área auditada pode acompanhar a auditoria, devendo estar disponível para responder aos questionamentos dos auditores e contribuir para a boa condução da auditoria, permitindo a participação dos membros da equipe, quando solicitado.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3"/>
        <w:spacing w:before="0" w:after="0"/>
        <w:ind w:hanging="0" w:start="0"/>
        <w:rPr>
          <w:rFonts w:eastAsia="Times New Roman" w:cs="Liberation Serif"/>
          <w:b/>
          <w:color w:val="000000"/>
        </w:rPr>
      </w:pPr>
      <w:bookmarkStart w:id="13" w:name="__RefHeading___Toc193102509"/>
      <w:bookmarkEnd w:id="13"/>
      <w:r>
        <w:rPr>
          <w:rFonts w:eastAsia="Times New Roman" w:cs="Arial" w:ascii="Arial" w:hAnsi="Arial"/>
          <w:b/>
          <w:color w:val="000000"/>
          <w:sz w:val="20"/>
          <w:szCs w:val="20"/>
        </w:rPr>
        <w:t>4.5.1 Técnicas de auditoria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  <w:b/>
          <w:color w:val="000000"/>
        </w:rPr>
      </w:pPr>
      <w:r>
        <w:rPr>
          <w:rFonts w:eastAsia="Times New Roman" w:cs="Liberation Serif"/>
          <w:b/>
          <w:color w:val="00000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As classificações e formas de apresentação das técnicas de auditoria são agrupadas basicamente em: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a) Indagação escrita ou oral – uso de entrevistas e questionários junto ao auditado para a obtenção de dados e informações;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sz w:val="20"/>
          <w:szCs w:val="20"/>
        </w:rPr>
        <w:t>b)  Análise documental – exame de processos, atos formalizados e documentos avulsos;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c) Confirmação externa – verificação junto a fontes externas ao auditado com a finalidade de obter confirmações em fonte diversa da origem dos dados;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sz w:val="20"/>
          <w:szCs w:val="20"/>
        </w:rPr>
        <w:t>d) Equiparação das informações obtidas – contraste de informações obtidas de fontes independentes. O objetivo dessa técnica é a consistência mútua entre diferentes amostras de evidência;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e) Inspeção física – exame utilizado para testar a efetividade dos controles internos, particularmente daqueles relativos à segurança de quantidades físicas ou quantidade de bens tangíveis. A evidência é coletada sobre itens tangíveis;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sz w:val="20"/>
          <w:szCs w:val="20"/>
        </w:rPr>
        <w:t>f) Rastreamento – investigação minuciosa, com exame de documentos, setores e procedimentos interligados, visando dar segurança à opinião do responsável pela execução do trabalho sobre o fato observado.</w:t>
      </w:r>
    </w:p>
    <w:p>
      <w:pPr>
        <w:pStyle w:val="Normal"/>
        <w:spacing w:lineRule="auto" w:line="360" w:before="0" w:after="0"/>
        <w:jc w:val="both"/>
        <w:rPr>
          <w:rFonts w:ascii="Arial" w:hAnsi="Arial" w:cs="Liberation Serif"/>
          <w:sz w:val="20"/>
          <w:szCs w:val="20"/>
        </w:rPr>
      </w:pPr>
      <w:r>
        <w:rPr>
          <w:rFonts w:cs="Liberation Serif" w:ascii="Arial" w:hAnsi="Arial"/>
          <w:sz w:val="20"/>
          <w:szCs w:val="20"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  <w:bCs/>
        </w:rPr>
      </w:pPr>
      <w:bookmarkStart w:id="14" w:name="__RefHeading___Toc193102510"/>
      <w:bookmarkEnd w:id="14"/>
      <w:r>
        <w:rPr>
          <w:rFonts w:eastAsia="Times New Roman" w:cs="Arial" w:ascii="Arial" w:hAnsi="Arial"/>
          <w:bCs/>
          <w:sz w:val="20"/>
          <w:szCs w:val="20"/>
        </w:rPr>
        <w:t>4.5.2 Evidência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  <w:b/>
          <w:bCs/>
        </w:rPr>
      </w:pPr>
      <w:r>
        <w:rPr>
          <w:rFonts w:eastAsia="Times New Roman" w:cs="Liberation Serif"/>
          <w:b/>
          <w:bCs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Evidência é a informação que o auditor precisa obter para registrar sua verificação, que servirá para a sustentação das conclusões da equipe.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 evidência, para atender a requisitos de validade, deve ser relevante, pertinente e suficiente (permitindo a terceiros que cheguem às mesmas conclusões do auditor interno).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cs="Liberation Serif"/>
          <w:b/>
        </w:rPr>
      </w:pPr>
      <w:r>
        <w:rPr>
          <w:rFonts w:cs="Arial" w:ascii="Arial" w:hAnsi="Arial"/>
          <w:sz w:val="20"/>
          <w:szCs w:val="20"/>
        </w:rPr>
        <w:t xml:space="preserve">O colaborador, durante exercício da função de auditor interno, terá livre acesso a todas as dependências da Rotoplastyc, assim como a documentos indispensáveis ao cumprimento de suas atribuições. O auditado não deve negar ao auditor a exposição de documento, processo ou informação solicitado durante a auditoria. </w:t>
      </w:r>
    </w:p>
    <w:p>
      <w:pPr>
        <w:pStyle w:val="Normal"/>
        <w:spacing w:lineRule="auto" w:line="360" w:before="0" w:after="0"/>
        <w:jc w:val="both"/>
        <w:rPr>
          <w:rFonts w:cs="Liberation Serif"/>
          <w:b/>
        </w:rPr>
      </w:pPr>
      <w:r>
        <w:rPr>
          <w:rFonts w:cs="Liberation Serif"/>
          <w:b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  <w:bCs/>
        </w:rPr>
      </w:pPr>
      <w:bookmarkStart w:id="15" w:name="__RefHeading___Toc193102511"/>
      <w:bookmarkEnd w:id="15"/>
      <w:r>
        <w:rPr>
          <w:rFonts w:eastAsia="Times New Roman" w:cs="Arial" w:ascii="Arial" w:hAnsi="Arial"/>
          <w:bCs/>
          <w:sz w:val="20"/>
          <w:szCs w:val="20"/>
        </w:rPr>
        <w:t>4.5.3 Amostragem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  <w:b/>
          <w:bCs/>
        </w:rPr>
      </w:pPr>
      <w:r>
        <w:rPr>
          <w:rFonts w:eastAsia="Times New Roman" w:cs="Liberation Serif"/>
          <w:b/>
          <w:bCs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método de amostragem é aplicado como forma de viabilizar a realização de ações da auditoria interna em situações onde o objeto alvo se apresenta em grandes quantidades e/ou se distribui de maneira pulverizada.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Todos os processos, operações, funções e atividades da Rotoplastyc estão sujeitos às avaliações amostrais dos auditores internos.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Heading2"/>
        <w:spacing w:before="0" w:after="0"/>
        <w:ind w:hanging="0" w:start="0"/>
        <w:rPr/>
      </w:pPr>
      <w:bookmarkStart w:id="16" w:name="__RefHeading___Toc193102512"/>
      <w:bookmarkEnd w:id="16"/>
      <w:r>
        <w:rPr>
          <w:rFonts w:eastAsia="Times New Roman" w:cs="Arial" w:ascii="Arial" w:hAnsi="Arial"/>
          <w:color w:val="FF0000"/>
          <w:sz w:val="20"/>
          <w:szCs w:val="20"/>
        </w:rPr>
        <w:t>4.5.4 Matriz de aplicação de requisitos</w:t>
      </w:r>
    </w:p>
    <w:p>
      <w:pPr>
        <w:pStyle w:val="Normal"/>
        <w:spacing w:lineRule="auto" w:line="360" w:before="0" w:after="0"/>
        <w:jc w:val="both"/>
        <w:rPr>
          <w:rFonts w:ascii="Arial" w:hAnsi="Arial" w:eastAsia="Times New Roman" w:cs="Arial"/>
          <w:color w:val="FF0000"/>
          <w:sz w:val="20"/>
          <w:szCs w:val="20"/>
        </w:rPr>
      </w:pPr>
      <w:r>
        <w:rPr>
          <w:rFonts w:eastAsia="Times New Roman" w:cs="Arial" w:ascii="Arial" w:hAnsi="Arial"/>
          <w:color w:val="FF0000"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cs="Liberation Serif"/>
          <w:color w:val="FF0000"/>
        </w:rPr>
      </w:pPr>
      <w:r>
        <w:rPr>
          <w:rFonts w:cs="Arial" w:ascii="Arial" w:hAnsi="Arial"/>
          <w:color w:val="FF0000"/>
          <w:sz w:val="20"/>
          <w:szCs w:val="20"/>
        </w:rPr>
        <w:t xml:space="preserve">A matriz de requisitos, registrada sob a </w:t>
      </w:r>
      <w:r>
        <w:rPr>
          <w:rFonts w:cs="Arial" w:ascii="Arial" w:hAnsi="Arial"/>
          <w:b/>
          <w:bCs/>
          <w:color w:val="FF0000"/>
          <w:sz w:val="20"/>
          <w:szCs w:val="20"/>
        </w:rPr>
        <w:t>DS18 - Matriz de Aplicação dos Requisitos da ISO9001</w:t>
      </w:r>
      <w:r>
        <w:rPr>
          <w:rFonts w:cs="Arial" w:ascii="Arial" w:hAnsi="Arial"/>
          <w:color w:val="FF0000"/>
          <w:sz w:val="20"/>
          <w:szCs w:val="20"/>
        </w:rPr>
        <w:t xml:space="preserve"> serve como parâmetro de análise entre a norma ISO9001 e os documentos dos processos da Rotoplastyc.</w:t>
      </w:r>
    </w:p>
    <w:p>
      <w:pPr>
        <w:pStyle w:val="Normal"/>
        <w:spacing w:lineRule="auto" w:line="360" w:before="0" w:after="0"/>
        <w:jc w:val="both"/>
        <w:rPr>
          <w:rFonts w:cs="Liberation Serif"/>
          <w:color w:val="FF0000"/>
        </w:rPr>
      </w:pPr>
      <w:r>
        <w:rPr>
          <w:rFonts w:cs="Liberation Serif"/>
          <w:color w:val="FF0000"/>
        </w:rPr>
      </w:r>
    </w:p>
    <w:p>
      <w:pPr>
        <w:pStyle w:val="Heading2"/>
        <w:spacing w:before="0" w:after="0"/>
        <w:ind w:hanging="0" w:start="0"/>
        <w:rPr>
          <w:rFonts w:ascii="Arial" w:hAnsi="Arial" w:eastAsia="Times New Roman" w:cs="Arial"/>
          <w:sz w:val="20"/>
          <w:szCs w:val="20"/>
        </w:rPr>
      </w:pPr>
      <w:bookmarkStart w:id="17" w:name="__RefHeading___Toc193102513"/>
      <w:bookmarkEnd w:id="17"/>
      <w:r>
        <w:rPr>
          <w:rFonts w:eastAsia="Times New Roman" w:cs="Arial" w:ascii="Arial" w:hAnsi="Arial"/>
          <w:sz w:val="20"/>
          <w:szCs w:val="20"/>
        </w:rPr>
        <w:t>4.6 Resultado da auditoria</w:t>
      </w:r>
    </w:p>
    <w:p>
      <w:pPr>
        <w:pStyle w:val="BodyText"/>
        <w:spacing w:before="0" w:after="0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Liberation Serif"/>
        </w:rPr>
        <w:tab/>
      </w:r>
      <w:r>
        <w:rPr>
          <w:rFonts w:cs="Arial" w:ascii="Arial" w:hAnsi="Arial"/>
          <w:sz w:val="20"/>
          <w:szCs w:val="20"/>
        </w:rPr>
        <w:t xml:space="preserve">O resultado da auditoria deve ser preenchido no sistema Tecnicon no seguinte caminho: módulo gestão da qualidade </w:t>
      </w:r>
      <w:r>
        <w:rPr>
          <w:rFonts w:eastAsia="Symbol" w:cs="Symbol" w:ascii="Symbol" w:hAnsi="Symbol"/>
          <w:sz w:val="20"/>
          <w:szCs w:val="20"/>
        </w:rPr>
        <w:sym w:font="Symbol" w:char="f0ae"/>
      </w:r>
      <w:r>
        <w:rPr>
          <w:rFonts w:cs="Arial" w:ascii="Arial" w:hAnsi="Arial"/>
          <w:sz w:val="20"/>
          <w:szCs w:val="20"/>
        </w:rPr>
        <w:t xml:space="preserve"> auditorias </w:t>
      </w:r>
      <w:r>
        <w:rPr>
          <w:rFonts w:eastAsia="Symbol" w:cs="Symbol" w:ascii="Symbol" w:hAnsi="Symbol"/>
          <w:sz w:val="20"/>
          <w:szCs w:val="20"/>
        </w:rPr>
        <w:sym w:font="Symbol" w:char="f0ae"/>
      </w:r>
      <w:r>
        <w:rPr>
          <w:rFonts w:cs="Arial" w:ascii="Arial" w:hAnsi="Arial"/>
          <w:sz w:val="20"/>
          <w:szCs w:val="20"/>
        </w:rPr>
        <w:t xml:space="preserve"> auditoria. A tela da imagem abaixo aparecerá: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inline distT="0" distB="0" distL="0" distR="0">
            <wp:extent cx="6111240" cy="2277745"/>
            <wp:effectExtent l="0" t="0" r="0" b="0"/>
            <wp:docPr id="1" name="Figura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Relatório de auditoria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Para iniciar o processo, deve-se clicar no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323850" cy="323850"/>
            <wp:effectExtent l="0" t="0" r="0" b="0"/>
            <wp:docPr id="2" name="Figura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1" t="-111" r="-111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para incluir um novo relatório. Com isso, os campos estarão disponíveis para preenchimento. 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A data, aparecerá automático, por isso deve-se alterar para a data de realização da auditoria. O número da auditoria está relacionado no </w:t>
      </w:r>
      <w:r>
        <w:rPr>
          <w:rFonts w:cs="Arial" w:ascii="Arial" w:hAnsi="Arial"/>
          <w:b/>
          <w:bCs/>
          <w:sz w:val="20"/>
          <w:szCs w:val="20"/>
        </w:rPr>
        <w:t>RQ31 – Planejamento da Auditoria Interna de Sistema</w:t>
      </w:r>
      <w:r>
        <w:rPr>
          <w:rFonts w:cs="Arial" w:ascii="Arial" w:hAnsi="Arial"/>
          <w:sz w:val="20"/>
          <w:szCs w:val="20"/>
        </w:rPr>
        <w:t xml:space="preserve">. Após, clicar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85750" cy="285750"/>
            <wp:effectExtent l="0" t="0" r="0" b="0"/>
            <wp:docPr id="3" name="Figura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6" t="-126" r="-126" b="-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>.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Em seguida, ir na aba opções e selecionar “auditores”, conforme imagem abaixo.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inline distT="0" distB="0" distL="0" distR="0">
            <wp:extent cx="6111240" cy="2117725"/>
            <wp:effectExtent l="0" t="0" r="0" b="0"/>
            <wp:docPr id="4" name="Figura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1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Seleção de auditores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A tela abaixo aparecerá: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inline distT="0" distB="0" distL="0" distR="0">
            <wp:extent cx="6111240" cy="1248410"/>
            <wp:effectExtent l="0" t="0" r="0" b="0"/>
            <wp:docPr id="5" name="Figura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1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14" r="-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24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Identificação de auditores internos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Para iniciar o processo, deve-se clicar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323850" cy="323850"/>
            <wp:effectExtent l="0" t="0" r="0" b="0"/>
            <wp:docPr id="6" name="Figura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11" t="-111" r="-111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para incluir o nome de um(a) auditor(a). Caso não saiba o número do funcionário é possível pesquisar clicando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28600" cy="266700"/>
            <wp:effectExtent l="0" t="0" r="0" b="0"/>
            <wp:docPr id="7" name="Figura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158" t="-135" r="-158" b="-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, ao lado de “cód. Func”, deve-se informar se o auditor interno é o auditor líder daquela auditoria ou não. Para finalizar o cadastro, clicar em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85750" cy="285750"/>
            <wp:effectExtent l="0" t="0" r="0" b="0"/>
            <wp:docPr id="8" name="Figura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20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26" t="-126" r="-126" b="-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e fechar a tela.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É necessário informar todos os auditores que participaram da auditoria interna. Após o preenchimento, fechar a tela no X para retornar a tela inicial. Deve-se então selecionar o campo opções e clicar em “área auditadas”, conforme imagem.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inline distT="0" distB="0" distL="0" distR="0">
            <wp:extent cx="6113145" cy="2049780"/>
            <wp:effectExtent l="0" t="0" r="0" b="0"/>
            <wp:docPr id="9" name="Figura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Seleção de área auditada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A tela da imagem aparecerá: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inline distT="0" distB="0" distL="0" distR="0">
            <wp:extent cx="6115050" cy="1278255"/>
            <wp:effectExtent l="0" t="0" r="0" b="0"/>
            <wp:docPr id="10" name="Figura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2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" t="-13" r="-3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7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Área auditada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Para iniciar o processo, deve-se clicar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323850" cy="323850"/>
            <wp:effectExtent l="0" t="0" r="0" b="0"/>
            <wp:docPr id="11" name="Figura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2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111" t="-111" r="-111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para incluir a área auditada.  Caso não saiba o código da área é possível pesquisar clicando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28600" cy="266700"/>
            <wp:effectExtent l="0" t="0" r="0" b="0"/>
            <wp:docPr id="12" name="Figura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2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158" t="-135" r="-158" b="-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>, ao lado de “cód. Centro de resultado, selecionar a opção no campo a consultar “centro de resultado”, em operação selecionar “contém” e em valor a consultar preencher com o “nome do setor”.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i/>
          <w:i/>
          <w:iCs/>
        </w:rPr>
      </w:pPr>
      <w:r>
        <w:rPr>
          <w:i/>
          <w:iCs/>
          <w:lang w:val="pt-BR" w:eastAsia="pt-BR"/>
        </w:rPr>
        <w:drawing>
          <wp:inline distT="0" distB="0" distL="0" distR="0">
            <wp:extent cx="5376545" cy="1494790"/>
            <wp:effectExtent l="0" t="0" r="0" b="0"/>
            <wp:docPr id="13" name="Imagem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21" r="-6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149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Pesquisa da área auditada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Para finalizar o cadastro, clicar em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85750" cy="285750"/>
            <wp:effectExtent l="0" t="0" r="0" b="0"/>
            <wp:docPr id="14" name="Figura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2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26" t="-126" r="-126" b="-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>.</w:t>
      </w:r>
    </w:p>
    <w:p>
      <w:pPr>
        <w:pStyle w:val="Normal"/>
        <w:spacing w:before="0" w:after="0"/>
        <w:ind w:firstLine="357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73025</wp:posOffset>
            </wp:positionV>
            <wp:extent cx="6119495" cy="1373505"/>
            <wp:effectExtent l="0" t="0" r="0" b="0"/>
            <wp:wrapSquare wrapText="largest"/>
            <wp:docPr id="15" name="Figura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4" t="-16" r="-4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735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i/>
          <w:iCs/>
          <w:sz w:val="20"/>
          <w:szCs w:val="20"/>
        </w:rPr>
        <w:t>Código selecionado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Fechar no X para voltar a tela inicial. Deve-se então selecionar o campo opções e clicar em “funcionário entrevistados”.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5539105" cy="1952625"/>
            <wp:effectExtent l="0" t="0" r="0" b="0"/>
            <wp:docPr id="16" name="Figura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2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195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Adição de funcionário entrevistado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A tela abaixo aparecerá: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inline distT="0" distB="0" distL="0" distR="0">
            <wp:extent cx="5396865" cy="1102360"/>
            <wp:effectExtent l="0" t="0" r="0" b="0"/>
            <wp:docPr id="17" name="Figura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2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3" t="-14" r="-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/>
      </w:pPr>
      <w:r>
        <w:rPr>
          <w:rFonts w:cs="Arial" w:ascii="Arial" w:hAnsi="Arial"/>
          <w:i/>
          <w:iCs/>
          <w:sz w:val="20"/>
          <w:szCs w:val="20"/>
        </w:rPr>
        <w:t>Funcionário (s) entrevistado(s)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Para iniciar o processo, deve-se clicar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323850" cy="323850"/>
            <wp:effectExtent l="0" t="0" r="0" b="0"/>
            <wp:docPr id="18" name="Figura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2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111" t="-111" r="-111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para incluir o nome de um(a) funcionário. Caso não saiba o código é possível pesquisar clicando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28600" cy="266700"/>
            <wp:effectExtent l="0" t="0" r="0" b="0"/>
            <wp:docPr id="19" name="Figura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158" t="-135" r="-158" b="-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, selecionar “nome funcionário / iniciar nome, enter. </w:t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lang w:val="pt-BR" w:eastAsia="pt-BR"/>
        </w:rPr>
        <w:drawing>
          <wp:inline distT="0" distB="0" distL="0" distR="0">
            <wp:extent cx="6123940" cy="1823085"/>
            <wp:effectExtent l="0" t="0" r="0" b="0"/>
            <wp:docPr id="20" name="Figura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firstLine="360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Pesquisa do nome do funcionário</w:t>
      </w:r>
    </w:p>
    <w:p>
      <w:pPr>
        <w:pStyle w:val="Normal"/>
        <w:spacing w:before="0" w:after="0"/>
        <w:ind w:firstLine="360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Fechar no x, para finalizar o cadastro, clicar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85750" cy="285750"/>
            <wp:effectExtent l="0" t="0" r="0" b="0"/>
            <wp:docPr id="21" name="Figura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3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126" t="-126" r="-126" b="-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e fechar a tela.</w:t>
      </w:r>
      <w:r>
        <w:rPr/>
        <w:t xml:space="preserve"> </w:t>
      </w:r>
      <w:r>
        <w:rPr>
          <w:rFonts w:cs="Arial" w:ascii="Arial" w:hAnsi="Arial"/>
          <w:sz w:val="20"/>
          <w:szCs w:val="20"/>
        </w:rPr>
        <w:t>Preencher as informações conforme o relatório do auditor: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Lista de documentos revisados;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Itens da norma a serem verificados;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Descrição detalhada da auditoria;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Não conformidades identificadas;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Oportunidades de melhoria;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Impressões gerais;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Conformidades identificadas;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Observação.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  <w:lang w:val="pt-BR" w:eastAsia="pt-BR"/>
        </w:rPr>
        <w:drawing>
          <wp:inline distT="0" distB="0" distL="0" distR="0">
            <wp:extent cx="5199380" cy="2034540"/>
            <wp:effectExtent l="0" t="0" r="0" b="0"/>
            <wp:docPr id="22" name="Figura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3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Relatório a ser preenchido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Para salvar o relatório em PDF, ir em ações / imprimir relatório de auditoria interna / Visualizar.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  <w:lang w:val="pt-BR" w:eastAsia="pt-BR"/>
        </w:rPr>
        <w:drawing>
          <wp:inline distT="0" distB="0" distL="0" distR="0">
            <wp:extent cx="5063490" cy="1962150"/>
            <wp:effectExtent l="0" t="0" r="0" b="0"/>
            <wp:docPr id="23" name="Figura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4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9" r="-7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Salvar em PDF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  <w:lang w:val="pt-BR" w:eastAsia="pt-BR"/>
        </w:rPr>
      </w:pPr>
      <w:r>
        <w:rPr>
          <w:rFonts w:cs="Arial" w:ascii="Arial" w:hAnsi="Arial"/>
          <w:b/>
          <w:bCs/>
          <w:i/>
          <w:iCs/>
          <w:sz w:val="20"/>
          <w:szCs w:val="20"/>
          <w:lang w:val="pt-BR" w:eastAsia="pt-BR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218440</wp:posOffset>
            </wp:positionV>
            <wp:extent cx="3795395" cy="1772285"/>
            <wp:effectExtent l="0" t="0" r="0" b="0"/>
            <wp:wrapSquare wrapText="largest"/>
            <wp:docPr id="24" name="Figura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15" r="-7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17722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Salvar em PDF</w:t>
      </w:r>
    </w:p>
    <w:p>
      <w:pPr>
        <w:pStyle w:val="Normal"/>
        <w:spacing w:before="0" w:after="0"/>
        <w:jc w:val="center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i/>
          <w:iCs/>
          <w:lang w:val="pt-BR" w:eastAsia="pt-BR"/>
        </w:rPr>
        <w:drawing>
          <wp:inline distT="0" distB="0" distL="0" distR="0">
            <wp:extent cx="3719830" cy="5001895"/>
            <wp:effectExtent l="0" t="0" r="0" b="0"/>
            <wp:docPr id="25" name="Figura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13" t="-10" r="-1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830" cy="500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Relatório em PDF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O relatório deverá ser enviado por e-mail para o setor auditado, juntamente com RNCs, se houverem.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</w:rPr>
      </w:pPr>
      <w:bookmarkStart w:id="18" w:name="__RefHeading___Toc193102514"/>
      <w:bookmarkEnd w:id="18"/>
      <w:r>
        <w:rPr>
          <w:rFonts w:eastAsia="Times New Roman" w:cs="Arial" w:ascii="Arial" w:hAnsi="Arial"/>
          <w:sz w:val="20"/>
          <w:szCs w:val="20"/>
        </w:rPr>
        <w:t>4.7 Classificação das não conformidades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</w:rPr>
      </w:pPr>
      <w:r>
        <w:rPr>
          <w:rFonts w:eastAsia="Times New Roman" w:cs="Liberation Serif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As não conformidades identificadas durante a auditoria devem ser classificadas em não conformidade maior (item “</w:t>
      </w:r>
      <w:r>
        <w:rPr>
          <w:rFonts w:cs="Arial" w:ascii="Arial" w:hAnsi="Arial"/>
          <w:b/>
          <w:sz w:val="20"/>
          <w:szCs w:val="20"/>
        </w:rPr>
        <w:t>Não conformidade maior”</w:t>
      </w:r>
      <w:r>
        <w:rPr>
          <w:rFonts w:cs="Arial" w:ascii="Arial" w:hAnsi="Arial"/>
          <w:sz w:val="20"/>
          <w:szCs w:val="20"/>
        </w:rPr>
        <w:t>) ou não conformidade menor (item “</w:t>
      </w:r>
      <w:r>
        <w:rPr>
          <w:rFonts w:cs="Arial" w:ascii="Arial" w:hAnsi="Arial"/>
          <w:b/>
          <w:sz w:val="20"/>
          <w:szCs w:val="20"/>
        </w:rPr>
        <w:t>Não conformidade menor”</w:t>
      </w:r>
      <w:r>
        <w:rPr>
          <w:rFonts w:cs="Arial" w:ascii="Arial" w:hAnsi="Arial"/>
          <w:sz w:val="20"/>
          <w:szCs w:val="20"/>
        </w:rPr>
        <w:t>).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Durante a auditoria, ao identificar aspectos que não se enquadrem como não conformidades, mas que, no entendimento dos auditores, podem ser aperfeiçoados ao longo do tempo, estes devem ser registrados como </w:t>
      </w:r>
      <w:r>
        <w:rPr>
          <w:rFonts w:cs="Arial" w:ascii="Arial" w:hAnsi="Arial"/>
          <w:b/>
          <w:bCs/>
          <w:sz w:val="20"/>
          <w:szCs w:val="20"/>
        </w:rPr>
        <w:t xml:space="preserve">oportunidades de melhoria </w:t>
      </w:r>
      <w:r>
        <w:rPr>
          <w:rFonts w:cs="Arial" w:ascii="Arial" w:hAnsi="Arial"/>
          <w:bCs/>
          <w:sz w:val="20"/>
          <w:szCs w:val="20"/>
        </w:rPr>
        <w:t>no relatório da auditoria</w:t>
      </w:r>
      <w:r>
        <w:rPr>
          <w:rFonts w:cs="Arial" w:ascii="Arial" w:hAnsi="Arial"/>
          <w:sz w:val="20"/>
          <w:szCs w:val="20"/>
        </w:rPr>
        <w:t>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Liberation Serif"/>
          <w:sz w:val="20"/>
          <w:szCs w:val="20"/>
        </w:rPr>
      </w:pPr>
      <w:r>
        <w:rPr>
          <w:rFonts w:cs="Liberation Serif" w:ascii="Arial" w:hAnsi="Arial"/>
          <w:sz w:val="20"/>
          <w:szCs w:val="20"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  <w:bCs/>
        </w:rPr>
      </w:pPr>
      <w:bookmarkStart w:id="19" w:name="__RefHeading___Toc193102515"/>
      <w:bookmarkEnd w:id="19"/>
      <w:r>
        <w:rPr>
          <w:rFonts w:eastAsia="Times New Roman" w:cs="Arial" w:ascii="Arial" w:hAnsi="Arial"/>
          <w:bCs/>
          <w:sz w:val="20"/>
          <w:szCs w:val="20"/>
        </w:rPr>
        <w:t>4.7.1 Não conformidade maior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  <w:b/>
          <w:bCs/>
        </w:rPr>
      </w:pPr>
      <w:r>
        <w:rPr>
          <w:rFonts w:eastAsia="Times New Roman" w:cs="Liberation Serif"/>
          <w:b/>
          <w:bCs/>
        </w:rPr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Não atendimento de um requisito interno por completo;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Não atendimento a requisito normativo;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Reincidência superior a três não conformidades menores no mesmo requisito, caracterizando erro sistêmico;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>
          <w:rFonts w:cs="Liberation Serif"/>
        </w:rPr>
      </w:pPr>
      <w:r>
        <w:rPr>
          <w:rFonts w:cs="Arial" w:ascii="Arial" w:hAnsi="Arial"/>
          <w:sz w:val="20"/>
          <w:szCs w:val="20"/>
        </w:rPr>
        <w:t>Qualquer não conformidade que possibilite o envio de produto não conforme ao cliente.</w:t>
      </w:r>
    </w:p>
    <w:p>
      <w:pPr>
        <w:pStyle w:val="Normal"/>
        <w:spacing w:lineRule="auto" w:line="360" w:before="0" w:after="0"/>
        <w:jc w:val="both"/>
        <w:rPr>
          <w:rFonts w:cs="Liberation Serif"/>
        </w:rPr>
      </w:pPr>
      <w:r>
        <w:rPr>
          <w:rFonts w:cs="Liberation Serif"/>
        </w:rPr>
      </w:r>
    </w:p>
    <w:p>
      <w:pPr>
        <w:pStyle w:val="Heading2"/>
        <w:spacing w:before="0" w:after="0"/>
        <w:ind w:hanging="0" w:start="0"/>
        <w:rPr>
          <w:rFonts w:eastAsia="Times New Roman" w:cs="Liberation Serif"/>
          <w:bCs/>
        </w:rPr>
      </w:pPr>
      <w:bookmarkStart w:id="20" w:name="__RefHeading___Toc193102516"/>
      <w:bookmarkEnd w:id="20"/>
      <w:r>
        <w:rPr>
          <w:rFonts w:eastAsia="Times New Roman" w:cs="Arial" w:ascii="Arial" w:hAnsi="Arial"/>
          <w:bCs/>
          <w:sz w:val="20"/>
          <w:szCs w:val="20"/>
        </w:rPr>
        <w:t>4.7.2 Não conformidade menor</w:t>
      </w:r>
    </w:p>
    <w:p>
      <w:pPr>
        <w:pStyle w:val="Normal"/>
        <w:spacing w:lineRule="auto" w:line="360" w:before="0" w:after="0"/>
        <w:jc w:val="both"/>
        <w:rPr>
          <w:rFonts w:eastAsia="Times New Roman" w:cs="Liberation Serif"/>
          <w:b/>
          <w:bCs/>
        </w:rPr>
      </w:pPr>
      <w:r>
        <w:rPr>
          <w:rFonts w:eastAsia="Times New Roman" w:cs="Liberation Serif"/>
          <w:b/>
          <w:bCs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Fato isolado, que não se enquadre em não conformidade maior;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Ausência de registros;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Preenchimento incompleto ou inadequado dos registros;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Falha no controle de documentos;</w:t>
      </w:r>
    </w:p>
    <w:p>
      <w:pPr>
        <w:pStyle w:val="Normal"/>
        <w:numPr>
          <w:ilvl w:val="0"/>
          <w:numId w:val="3"/>
        </w:numPr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Incompatibilidade entre procedimento e atividade.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Heading2"/>
        <w:spacing w:before="0" w:after="0"/>
        <w:ind w:hanging="0" w:start="0"/>
        <w:rPr/>
      </w:pPr>
      <w:bookmarkStart w:id="21" w:name="__RefHeading___Toc193102517"/>
      <w:bookmarkEnd w:id="21"/>
      <w:r>
        <w:rPr>
          <w:rFonts w:eastAsia="Times New Roman" w:cs="Arial" w:ascii="Arial" w:hAnsi="Arial"/>
          <w:sz w:val="20"/>
          <w:szCs w:val="20"/>
        </w:rPr>
        <w:t>4.8 Finalização da auditoria interna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ab/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b/>
          <w:bCs/>
          <w:sz w:val="20"/>
          <w:szCs w:val="20"/>
        </w:rPr>
        <w:tab/>
      </w:r>
      <w:r>
        <w:rPr>
          <w:rFonts w:cs="Arial" w:ascii="Arial" w:hAnsi="Arial"/>
          <w:bCs/>
          <w:sz w:val="20"/>
          <w:szCs w:val="20"/>
        </w:rPr>
        <w:t>O SGQ preenche</w:t>
      </w:r>
      <w:r>
        <w:rPr>
          <w:rFonts w:cs="Arial" w:ascii="Arial" w:hAnsi="Arial"/>
          <w:sz w:val="20"/>
          <w:szCs w:val="20"/>
        </w:rPr>
        <w:t xml:space="preserve"> o </w:t>
      </w:r>
      <w:r>
        <w:rPr>
          <w:rFonts w:cs="Arial" w:ascii="Arial" w:hAnsi="Arial"/>
          <w:b/>
          <w:bCs/>
          <w:sz w:val="20"/>
          <w:szCs w:val="20"/>
        </w:rPr>
        <w:t>RQ32 - Resultado da Auditoria Interna de Sistema</w:t>
      </w:r>
      <w:r>
        <w:rPr>
          <w:rFonts w:cs="Arial" w:ascii="Arial" w:hAnsi="Arial"/>
          <w:sz w:val="20"/>
          <w:szCs w:val="20"/>
        </w:rPr>
        <w:t xml:space="preserve"> com o resultado da auditoria, apresentando o total de não conformidades e oportunidades de melhorias na reunião de encerramento com os representantes dos setores auditados e Direção, para divulgação do resultado da auditoria.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Heading2"/>
        <w:spacing w:before="0" w:after="0"/>
        <w:ind w:hanging="0" w:start="0"/>
        <w:rPr>
          <w:rFonts w:ascii="Arial" w:hAnsi="Arial" w:eastAsia="Times New Roman" w:cs="Arial"/>
          <w:sz w:val="20"/>
          <w:szCs w:val="20"/>
        </w:rPr>
      </w:pPr>
      <w:bookmarkStart w:id="22" w:name="__RefHeading___Toc193102518"/>
      <w:bookmarkEnd w:id="22"/>
      <w:r>
        <w:rPr>
          <w:rFonts w:eastAsia="Times New Roman" w:cs="Arial" w:ascii="Arial" w:hAnsi="Arial"/>
          <w:sz w:val="20"/>
          <w:szCs w:val="20"/>
        </w:rPr>
        <w:t>4.9 Relatório de Não conformidade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O SGQ registra as NCs de auditoria no Sistema Tecnicon, e informa a numeração de RNC no </w:t>
      </w:r>
      <w:r>
        <w:rPr>
          <w:rFonts w:cs="Arial" w:ascii="Arial" w:hAnsi="Arial"/>
          <w:b/>
          <w:bCs/>
          <w:sz w:val="20"/>
          <w:szCs w:val="20"/>
        </w:rPr>
        <w:t xml:space="preserve">RQ32 - Resultado da Auditoria Interna de Sistema, </w:t>
      </w:r>
      <w:r>
        <w:rPr>
          <w:rFonts w:cs="Arial" w:ascii="Arial" w:hAnsi="Arial"/>
          <w:sz w:val="20"/>
          <w:szCs w:val="20"/>
        </w:rPr>
        <w:t>ao lado da NC correspondente.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Para registrar a NC no sistema deve-se acessar o módulo gestão da qualidade </w:t>
      </w:r>
      <w:r>
        <w:rPr>
          <w:rFonts w:eastAsia="Symbol" w:cs="Symbol" w:ascii="Symbol" w:hAnsi="Symbol"/>
          <w:sz w:val="20"/>
          <w:szCs w:val="20"/>
        </w:rPr>
        <w:sym w:font="Symbol" w:char="f0ae"/>
        <w:sym w:font="Symbol" w:char="f020"/>
      </w:r>
      <w:r>
        <w:rPr>
          <w:rFonts w:cs="Arial" w:ascii="Arial" w:hAnsi="Arial"/>
          <w:sz w:val="20"/>
          <w:szCs w:val="20"/>
        </w:rPr>
        <w:t xml:space="preserve">auditorias </w:t>
      </w:r>
      <w:r>
        <w:rPr>
          <w:rFonts w:eastAsia="Symbol" w:cs="Symbol" w:ascii="Symbol" w:hAnsi="Symbol"/>
          <w:sz w:val="20"/>
          <w:szCs w:val="20"/>
        </w:rPr>
        <w:sym w:font="Symbol" w:char="f0ae"/>
        <w:sym w:font="Symbol" w:char="f020"/>
      </w:r>
      <w:r>
        <w:rPr>
          <w:rFonts w:cs="Arial" w:ascii="Arial" w:hAnsi="Arial"/>
          <w:sz w:val="20"/>
          <w:szCs w:val="20"/>
        </w:rPr>
        <w:t xml:space="preserve">não conformidade de auditoria. </w:t>
      </w:r>
      <w:r>
        <w:rPr>
          <w:rFonts w:eastAsia="Symbol" w:cs="Symbol" w:ascii="Symbol" w:hAnsi="Symbol"/>
          <w:sz w:val="20"/>
          <w:szCs w:val="20"/>
        </w:rPr>
        <w:sym w:font="Symbol" w:char="f020"/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Style w:val="Strong"/>
          <w:rFonts w:cs="Arial" w:ascii="Arial" w:hAnsi="Arial"/>
          <w:sz w:val="20"/>
          <w:szCs w:val="20"/>
        </w:rPr>
        <w:drawing>
          <wp:inline distT="0" distB="0" distL="0" distR="0">
            <wp:extent cx="6108700" cy="2080895"/>
            <wp:effectExtent l="0" t="0" r="0" b="0"/>
            <wp:docPr id="26" name="Figura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31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08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Relatório de não conformidade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Para iniciar o processo, deve-se clicar no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323850" cy="323850"/>
            <wp:effectExtent l="0" t="0" r="0" b="0"/>
            <wp:docPr id="27" name="Figura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32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111" t="-111" r="-111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 para incluir a não conformidade. Com isso, os campos estarão disponíveis para preenchimento. Preencher: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Data (data da abertura ou do ocorrido);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Código centro resultado (selecionar centro de resultado / contém / nome setor / pesquisar);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Responsável auditado (responsável do setor);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Norma (número PQ/IT/ISO);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Cláusula (requisito não cumprido);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Auditor (quem está abrindo o RNC/ identificou a NC);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Descrição Não conformidade (descrição do ocorrido);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- Responsável (quem irá responder pelo RNC);</w:t>
      </w:r>
    </w:p>
    <w:p>
      <w:pPr>
        <w:pStyle w:val="Normal"/>
        <w:spacing w:lineRule="auto" w:line="360" w:before="0" w:after="0"/>
        <w:jc w:val="both"/>
        <w:rPr/>
      </w:pPr>
      <w:r>
        <w:rPr>
          <w:rFonts w:cs="Arial" w:ascii="Arial" w:hAnsi="Arial"/>
          <w:sz w:val="20"/>
          <w:szCs w:val="20"/>
        </w:rPr>
        <w:t>- Prazo (15 dias).</w:t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Após o preenchimento de todos os campos, deve-se clicar no ícone </w:t>
      </w:r>
      <w:r>
        <w:rPr>
          <w:rFonts w:cs="Arial" w:ascii="Arial" w:hAnsi="Arial"/>
          <w:sz w:val="20"/>
          <w:szCs w:val="20"/>
        </w:rPr>
        <w:drawing>
          <wp:inline distT="0" distB="0" distL="0" distR="0">
            <wp:extent cx="285750" cy="285750"/>
            <wp:effectExtent l="0" t="0" r="0" b="0"/>
            <wp:docPr id="28" name="Figura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33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126" t="-126" r="-126" b="-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0"/>
          <w:szCs w:val="20"/>
        </w:rPr>
        <w:t xml:space="preserve">. </w:t>
        <w:tab/>
      </w:r>
    </w:p>
    <w:p>
      <w:pPr>
        <w:pStyle w:val="Normal"/>
        <w:spacing w:before="0" w:after="0"/>
        <w:jc w:val="center"/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>
            <wp:extent cx="6124575" cy="1934845"/>
            <wp:effectExtent l="0" t="0" r="0" b="0"/>
            <wp:docPr id="29" name="Figura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7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5" t="-14" r="-5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3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i/>
          <w:i/>
          <w:iCs/>
        </w:rPr>
      </w:pPr>
      <w:r>
        <w:rPr>
          <w:i/>
          <w:iCs/>
          <w:lang w:val="pt-BR" w:eastAsia="pt-BR"/>
        </w:rPr>
        <w:drawing>
          <wp:inline distT="0" distB="0" distL="0" distR="0">
            <wp:extent cx="6116955" cy="1116965"/>
            <wp:effectExtent l="0" t="0" r="0" b="0"/>
            <wp:docPr id="30" name="Figura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8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5" t="-25" r="-5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11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Preenchimento do RNC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>Para visualizar o RNC e salvar em PDF para enviar ao setor, ir em Ações/imprimir RNC auditoria completo 4:</w:t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73025</wp:posOffset>
            </wp:positionV>
            <wp:extent cx="5960745" cy="1922145"/>
            <wp:effectExtent l="0" t="0" r="0" b="0"/>
            <wp:wrapSquare wrapText="largest"/>
            <wp:docPr id="31" name="Figura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9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8" t="-23" r="-8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9221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Salvar RNC em PDF</w:t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Clicar em visualizar:</w:t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740410</wp:posOffset>
            </wp:positionH>
            <wp:positionV relativeFrom="paragraph">
              <wp:posOffset>147320</wp:posOffset>
            </wp:positionV>
            <wp:extent cx="4147185" cy="1795780"/>
            <wp:effectExtent l="0" t="0" r="0" b="0"/>
            <wp:wrapSquare wrapText="largest"/>
            <wp:docPr id="32" name="Figura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10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7" t="-17" r="-7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1795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  <w:t>Salvar RNC em PDF</w:t>
      </w:r>
    </w:p>
    <w:p>
      <w:pPr>
        <w:pStyle w:val="Normal"/>
        <w:spacing w:before="0" w:after="0"/>
        <w:ind w:firstLine="709" w:end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73025</wp:posOffset>
            </wp:positionV>
            <wp:extent cx="3484245" cy="4284345"/>
            <wp:effectExtent l="0" t="0" r="0" b="0"/>
            <wp:wrapSquare wrapText="largest"/>
            <wp:docPr id="33" name="Figura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11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3" t="-10" r="-1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45" cy="42843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</w:rPr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eastAsia="Arial" w:cs="Arial" w:ascii="Arial" w:hAnsi="Arial"/>
          <w:i/>
          <w:iCs/>
          <w:sz w:val="20"/>
          <w:szCs w:val="20"/>
        </w:rPr>
        <w:t xml:space="preserve">                                   </w:t>
      </w:r>
      <w:r>
        <w:rPr>
          <w:rFonts w:cs="Arial" w:ascii="Arial" w:hAnsi="Arial"/>
          <w:i/>
          <w:iCs/>
          <w:sz w:val="20"/>
          <w:szCs w:val="20"/>
        </w:rPr>
        <w:t>Relatório em PDF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Enviar por e-mail para o setor auditado o PDF gerado informando o prazo para responder o RNC.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Heading2"/>
        <w:spacing w:before="0" w:after="0"/>
        <w:ind w:hanging="0" w:start="0"/>
        <w:rPr>
          <w:rFonts w:ascii="Arial" w:hAnsi="Arial" w:eastAsia="Times New Roman" w:cs="Arial"/>
          <w:sz w:val="20"/>
          <w:szCs w:val="20"/>
        </w:rPr>
      </w:pPr>
      <w:bookmarkStart w:id="23" w:name="__RefHeading___Toc193102519"/>
      <w:bookmarkEnd w:id="23"/>
      <w:r>
        <w:rPr>
          <w:rFonts w:eastAsia="Times New Roman" w:cs="Arial" w:ascii="Arial" w:hAnsi="Arial"/>
          <w:sz w:val="20"/>
          <w:szCs w:val="20"/>
        </w:rPr>
        <w:t>4.10 Análise do RNC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rPr>
          <w:rFonts w:ascii="Arial" w:hAnsi="Arial" w:cs="Arial"/>
          <w:color w:val="FF0000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O responsável pelo setor onde foi identificada a NC deve acessar o Tecnicon e fazer a análise da causa, as ações de correção e as ações corretivas de cada NC, conforme descrito na </w:t>
      </w:r>
      <w:r>
        <w:rPr>
          <w:rFonts w:cs="Arial" w:ascii="Arial" w:hAnsi="Arial"/>
          <w:b/>
          <w:bCs/>
          <w:sz w:val="20"/>
          <w:szCs w:val="20"/>
        </w:rPr>
        <w:t>IT03 – Relatório de Não Conformidade</w:t>
      </w:r>
      <w:r>
        <w:rPr>
          <w:rFonts w:cs="Arial" w:ascii="Arial" w:hAnsi="Arial"/>
          <w:sz w:val="20"/>
          <w:szCs w:val="20"/>
        </w:rPr>
        <w:t xml:space="preserve">. A responsabilidade pelo acompanhamento das ações definidas em auditoria é do SGQ, que monitora os registros em aberto através do documento RQ198 </w:t>
      </w:r>
      <w:r>
        <w:rPr>
          <w:rFonts w:cs="Arial" w:ascii="Arial" w:hAnsi="Arial"/>
          <w:color w:val="FF0000"/>
          <w:sz w:val="20"/>
          <w:szCs w:val="20"/>
        </w:rPr>
        <w:t>e através do acompanhamento do</w:t>
      </w:r>
      <w:r>
        <w:rPr>
          <w:rFonts w:cs="Arial" w:ascii="Arial" w:hAnsi="Arial"/>
          <w:sz w:val="20"/>
          <w:szCs w:val="20"/>
        </w:rPr>
        <w:t xml:space="preserve"> </w:t>
      </w:r>
      <w:r>
        <w:rPr>
          <w:rFonts w:cs="Arial" w:ascii="Arial" w:hAnsi="Arial"/>
          <w:color w:val="FF0000"/>
          <w:sz w:val="20"/>
          <w:szCs w:val="20"/>
        </w:rPr>
        <w:t>BI do RNC, no link: https://app.powerbi.com/groups/me/reports/983a95bb-5dff-447d-9ae2-ac2742a8ab1e/1ad17bcbbc3a6b101ab2?experience=power-bi.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cs="Arial" w:ascii="Arial" w:hAnsi="Arial"/>
          <w:color w:val="FF0000"/>
          <w:sz w:val="20"/>
          <w:szCs w:val="20"/>
        </w:rPr>
      </w:r>
    </w:p>
    <w:p>
      <w:pPr>
        <w:pStyle w:val="Normal"/>
        <w:spacing w:before="0" w:after="0"/>
        <w:jc w:val="center"/>
        <w:rPr>
          <w:lang w:val="pt-BR" w:eastAsia="pt-BR"/>
        </w:rPr>
      </w:pPr>
      <w:r>
        <w:rPr>
          <w:lang w:val="pt-BR" w:eastAsia="pt-BR"/>
        </w:rPr>
        <w:drawing>
          <wp:inline distT="0" distB="0" distL="0" distR="0">
            <wp:extent cx="4625340" cy="3468370"/>
            <wp:effectExtent l="0" t="0" r="0" b="0"/>
            <wp:docPr id="34" name="Figura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46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center"/>
        <w:rPr>
          <w:rFonts w:ascii="Arial" w:hAnsi="Arial" w:cs="Arial"/>
          <w:i/>
          <w:i/>
          <w:iCs/>
          <w:sz w:val="20"/>
          <w:szCs w:val="20"/>
        </w:rPr>
      </w:pPr>
      <w:r>
        <w:rPr>
          <w:rFonts w:cs="Arial" w:ascii="Arial" w:hAnsi="Arial"/>
          <w:i/>
          <w:iCs/>
          <w:sz w:val="20"/>
          <w:szCs w:val="20"/>
          <w:lang w:val="pt-BR" w:eastAsia="pt-BR"/>
        </w:rPr>
        <w:t>BI de RNC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cs="Arial"/>
          <w:b/>
          <w:bCs/>
          <w:i/>
          <w:i/>
          <w:iCs/>
          <w:sz w:val="20"/>
          <w:szCs w:val="20"/>
        </w:rPr>
      </w:pPr>
      <w:r>
        <w:rPr>
          <w:rFonts w:cs="Arial" w:ascii="Arial" w:hAnsi="Arial"/>
          <w:b/>
          <w:bCs/>
          <w:i/>
          <w:iCs/>
          <w:sz w:val="20"/>
          <w:szCs w:val="20"/>
        </w:rPr>
      </w:r>
    </w:p>
    <w:p>
      <w:pPr>
        <w:pStyle w:val="Heading2"/>
        <w:spacing w:before="0" w:after="0"/>
        <w:ind w:hanging="0" w:start="0"/>
        <w:rPr>
          <w:rFonts w:ascii="Arial" w:hAnsi="Arial" w:eastAsia="Times New Roman" w:cs="Arial"/>
          <w:sz w:val="20"/>
          <w:szCs w:val="20"/>
        </w:rPr>
      </w:pPr>
      <w:bookmarkStart w:id="24" w:name="__RefHeading___Toc193102520"/>
      <w:bookmarkEnd w:id="24"/>
      <w:r>
        <w:rPr>
          <w:rFonts w:eastAsia="Times New Roman" w:cs="Arial" w:ascii="Arial" w:hAnsi="Arial"/>
          <w:sz w:val="20"/>
          <w:szCs w:val="20"/>
        </w:rPr>
        <w:t>4.11 Verificação da eficácia do RNC</w:t>
      </w:r>
    </w:p>
    <w:p>
      <w:pPr>
        <w:pStyle w:val="Normal"/>
        <w:spacing w:lineRule="auto" w:line="360" w:before="0" w:after="0"/>
        <w:ind w:firstLine="709" w:end="0"/>
        <w:jc w:val="both"/>
        <w:rPr>
          <w:rFonts w:ascii="Arial" w:hAnsi="Arial" w:eastAsia="Times New Roman" w:cs="Arial"/>
          <w:sz w:val="20"/>
          <w:szCs w:val="20"/>
        </w:rPr>
      </w:pPr>
      <w:r>
        <w:rPr>
          <w:rFonts w:eastAsia="Times New Roman"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0"/>
        <w:ind w:firstLine="709" w:end="0"/>
        <w:jc w:val="both"/>
        <w:rPr/>
      </w:pPr>
      <w:r>
        <w:rPr>
          <w:rFonts w:cs="Arial" w:ascii="Arial" w:hAnsi="Arial"/>
          <w:sz w:val="20"/>
          <w:szCs w:val="20"/>
        </w:rPr>
        <w:t xml:space="preserve">A verificação da eficácia das ações deve ser realizada logo após a execução das ações propostas ou na auditoria interna subsequente. Ela é realizada pelos auditores internos, SGQ, Direção ou responsável pela área onde a ação gerou resultado/ mudança. Deve-se seguir conforme descrito na </w:t>
      </w:r>
      <w:r>
        <w:rPr>
          <w:rFonts w:cs="Arial" w:ascii="Arial" w:hAnsi="Arial"/>
          <w:b/>
          <w:bCs/>
          <w:sz w:val="20"/>
          <w:szCs w:val="20"/>
        </w:rPr>
        <w:t>IT03 – Relatório de Não Conformidade.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Heading1"/>
        <w:spacing w:before="0" w:after="0"/>
        <w:ind w:hanging="0" w:start="0"/>
        <w:rPr/>
      </w:pPr>
      <w:bookmarkStart w:id="25" w:name="__RefHeading___Toc193102521"/>
      <w:bookmarkEnd w:id="25"/>
      <w:r>
        <w:rPr/>
        <w:t>5 REVISÕES EFETUADAS</w:t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sz w:val="20"/>
          <w:szCs w:val="20"/>
        </w:rPr>
      </w:pPr>
      <w:r>
        <w:rPr>
          <w:rFonts w:cs="Arial" w:ascii="Arial" w:hAnsi="Arial"/>
          <w:b/>
          <w:sz w:val="20"/>
          <w:szCs w:val="20"/>
        </w:rPr>
      </w:r>
    </w:p>
    <w:tbl>
      <w:tblPr>
        <w:tblW w:w="9699" w:type="dxa"/>
        <w:jc w:val="start"/>
        <w:tblInd w:w="43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1356"/>
        <w:gridCol w:w="1357"/>
        <w:gridCol w:w="6986"/>
      </w:tblGrid>
      <w:tr>
        <w:trPr>
          <w:trHeight w:val="284" w:hRule="atLeast"/>
        </w:trPr>
        <w:tc>
          <w:tcPr>
            <w:tcW w:w="135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 w:before="0" w:after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Revisão</w:t>
            </w:r>
          </w:p>
        </w:tc>
        <w:tc>
          <w:tcPr>
            <w:tcW w:w="13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 w:before="0" w:after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Data</w:t>
            </w:r>
          </w:p>
        </w:tc>
        <w:tc>
          <w:tcPr>
            <w:tcW w:w="69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 w:before="0" w:after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Alteração</w:t>
            </w:r>
          </w:p>
        </w:tc>
      </w:tr>
      <w:tr>
        <w:trPr>
          <w:trHeight w:val="284" w:hRule="atLeast"/>
        </w:trPr>
        <w:tc>
          <w:tcPr>
            <w:tcW w:w="1356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00</w:t>
            </w:r>
          </w:p>
        </w:tc>
        <w:tc>
          <w:tcPr>
            <w:tcW w:w="1357" w:type="dxa"/>
            <w:tcBorders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18/08/15</w:t>
            </w:r>
          </w:p>
        </w:tc>
        <w:tc>
          <w:tcPr>
            <w:tcW w:w="698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Emissão</w:t>
            </w:r>
          </w:p>
        </w:tc>
      </w:tr>
      <w:tr>
        <w:trPr>
          <w:trHeight w:val="284" w:hRule="atLeast"/>
        </w:trPr>
        <w:tc>
          <w:tcPr>
            <w:tcW w:w="135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01</w:t>
            </w:r>
          </w:p>
        </w:tc>
        <w:tc>
          <w:tcPr>
            <w:tcW w:w="13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20/04/18</w:t>
            </w:r>
          </w:p>
        </w:tc>
        <w:tc>
          <w:tcPr>
            <w:tcW w:w="69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Excluído RQ48. Alterados itens 4.2, 4.4, 4.4.1, 4.5, 4.6, 4.7 e 4.9. Inclusão dos itens 4.4.2 e 4.8.</w:t>
            </w:r>
          </w:p>
        </w:tc>
      </w:tr>
      <w:tr>
        <w:trPr>
          <w:trHeight w:val="284" w:hRule="atLeast"/>
        </w:trPr>
        <w:tc>
          <w:tcPr>
            <w:tcW w:w="135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02</w:t>
            </w:r>
          </w:p>
        </w:tc>
        <w:tc>
          <w:tcPr>
            <w:tcW w:w="13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10/06/19</w:t>
            </w:r>
          </w:p>
        </w:tc>
        <w:tc>
          <w:tcPr>
            <w:tcW w:w="69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Formatação do documento.</w:t>
            </w:r>
          </w:p>
        </w:tc>
      </w:tr>
      <w:tr>
        <w:trPr>
          <w:trHeight w:val="284" w:hRule="atLeast"/>
        </w:trPr>
        <w:tc>
          <w:tcPr>
            <w:tcW w:w="135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03</w:t>
            </w:r>
          </w:p>
        </w:tc>
        <w:tc>
          <w:tcPr>
            <w:tcW w:w="13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10/07/20</w:t>
            </w:r>
          </w:p>
        </w:tc>
        <w:tc>
          <w:tcPr>
            <w:tcW w:w="69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Revisão geral.</w:t>
            </w:r>
          </w:p>
        </w:tc>
      </w:tr>
      <w:tr>
        <w:trPr>
          <w:trHeight w:val="284" w:hRule="atLeast"/>
        </w:trPr>
        <w:tc>
          <w:tcPr>
            <w:tcW w:w="135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04</w:t>
            </w:r>
          </w:p>
        </w:tc>
        <w:tc>
          <w:tcPr>
            <w:tcW w:w="13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lang w:eastAsia="ar-SA"/>
              </w:rPr>
            </w:pPr>
            <w:r>
              <w:rPr>
                <w:lang w:eastAsia="ar-SA"/>
              </w:rPr>
              <w:t>04/11/21</w:t>
            </w:r>
          </w:p>
        </w:tc>
        <w:tc>
          <w:tcPr>
            <w:tcW w:w="69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b/>
              </w:rPr>
            </w:pPr>
            <w:r>
              <w:rPr>
                <w:lang w:eastAsia="ar-SA"/>
              </w:rPr>
              <w:t xml:space="preserve">Inclusão do item </w:t>
            </w:r>
            <w:r>
              <w:rPr>
                <w:bCs/>
              </w:rPr>
              <w:t>4.4.1.1 Seleção de Auditores Internos.</w:t>
            </w:r>
          </w:p>
        </w:tc>
      </w:tr>
      <w:tr>
        <w:trPr>
          <w:trHeight w:val="284" w:hRule="atLeast"/>
        </w:trPr>
        <w:tc>
          <w:tcPr>
            <w:tcW w:w="135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color w:val="FF0000"/>
                <w:lang w:eastAsia="ar-SA"/>
              </w:rPr>
            </w:pPr>
            <w:r>
              <w:rPr>
                <w:color w:val="FF0000"/>
                <w:lang w:eastAsia="ar-SA"/>
              </w:rPr>
              <w:t>05</w:t>
            </w:r>
          </w:p>
        </w:tc>
        <w:tc>
          <w:tcPr>
            <w:tcW w:w="135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color w:val="FF0000"/>
                <w:lang w:eastAsia="ar-SA"/>
              </w:rPr>
            </w:pPr>
            <w:r>
              <w:rPr>
                <w:color w:val="FF0000"/>
                <w:lang w:eastAsia="ar-SA"/>
              </w:rPr>
              <w:t>14/03/2025</w:t>
            </w:r>
          </w:p>
        </w:tc>
        <w:tc>
          <w:tcPr>
            <w:tcW w:w="69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before="0" w:after="0"/>
              <w:rPr>
                <w:color w:val="FF0000"/>
                <w:lang w:eastAsia="ar-SA"/>
              </w:rPr>
            </w:pPr>
            <w:r>
              <w:rPr>
                <w:color w:val="FF0000"/>
                <w:lang w:eastAsia="ar-SA"/>
              </w:rPr>
              <w:t>Inclusão de informações da DS18 – matriz de requisitos.</w:t>
            </w:r>
          </w:p>
          <w:p>
            <w:pPr>
              <w:pStyle w:val="Normal"/>
              <w:spacing w:before="0" w:after="0"/>
              <w:rPr>
                <w:color w:val="FF0000"/>
              </w:rPr>
            </w:pPr>
            <w:r>
              <w:rPr>
                <w:color w:val="FF0000"/>
                <w:lang w:eastAsia="ar-SA"/>
              </w:rPr>
              <w:t xml:space="preserve">Atualização do item </w:t>
            </w:r>
            <w:r>
              <w:rPr>
                <w:color w:val="FF0000"/>
              </w:rPr>
              <w:t>4.10 Análise do RNC, monitoramento através do RQ198 e foi incluída a forma de acompanhamento através do BI de consulta do RNC.</w:t>
            </w:r>
          </w:p>
          <w:p>
            <w:pPr>
              <w:pStyle w:val="Normal"/>
              <w:spacing w:before="0" w:after="0"/>
              <w:rPr>
                <w:color w:val="FF0000"/>
                <w:lang w:eastAsia="ar-SA"/>
              </w:rPr>
            </w:pPr>
            <w:r>
              <w:rPr>
                <w:color w:val="FF0000"/>
                <w:lang w:eastAsia="ar-SA"/>
              </w:rPr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  <w:lang w:eastAsia="ar-SA"/>
        </w:rPr>
      </w:pPr>
      <w:r>
        <w:rPr>
          <w:rFonts w:cs="Arial" w:ascii="Arial" w:hAnsi="Arial"/>
          <w:b/>
          <w:bCs/>
          <w:sz w:val="20"/>
          <w:szCs w:val="20"/>
          <w:lang w:eastAsia="ar-SA"/>
        </w:rPr>
      </w:r>
    </w:p>
    <w:p>
      <w:pPr>
        <w:pStyle w:val="Normal"/>
        <w:spacing w:lineRule="auto" w:line="360" w:before="0" w:after="0"/>
        <w:jc w:val="both"/>
        <w:rPr>
          <w:rFonts w:ascii="Arial" w:hAnsi="Arial" w:cs="Arial"/>
          <w:b/>
          <w:bCs/>
          <w:sz w:val="20"/>
          <w:szCs w:val="20"/>
          <w:lang w:eastAsia="ar-SA"/>
        </w:rPr>
      </w:pPr>
      <w:r>
        <w:rPr>
          <w:rFonts w:cs="Arial" w:ascii="Arial" w:hAnsi="Arial"/>
          <w:b/>
          <w:bCs/>
          <w:sz w:val="20"/>
          <w:szCs w:val="20"/>
          <w:lang w:eastAsia="ar-SA"/>
        </w:rPr>
      </w:r>
    </w:p>
    <w:p>
      <w:pPr>
        <w:pStyle w:val="Heading1"/>
        <w:spacing w:before="0" w:after="0"/>
        <w:ind w:hanging="0" w:start="0"/>
        <w:rPr>
          <w:rFonts w:eastAsia="ArialMT;Arial"/>
          <w:lang w:eastAsia="ar-SA"/>
        </w:rPr>
      </w:pPr>
      <w:bookmarkStart w:id="26" w:name="__RefHeading___Toc193102522"/>
      <w:r>
        <w:rPr>
          <w:rFonts w:eastAsia="ArialMT;Arial"/>
          <w:lang w:eastAsia="ar-SA"/>
        </w:rPr>
        <w:t>6 APROVAÇÃO DO DOCUMENTO</w:t>
      </w:r>
      <w:bookmarkEnd w:id="26"/>
      <w:r>
        <w:rPr>
          <w:rFonts w:eastAsia="ArialMT;Arial"/>
          <w:lang w:eastAsia="ar-SA"/>
        </w:rPr>
        <w:tab/>
      </w:r>
    </w:p>
    <w:p>
      <w:pPr>
        <w:pStyle w:val="Normal"/>
        <w:spacing w:lineRule="auto" w:line="360" w:before="0" w:after="0"/>
        <w:jc w:val="both"/>
        <w:rPr>
          <w:rFonts w:ascii="Arial" w:hAnsi="Arial" w:eastAsia="ArialMT;Arial" w:cs="Arial"/>
          <w:b/>
          <w:bCs/>
          <w:sz w:val="20"/>
          <w:szCs w:val="20"/>
          <w:lang w:eastAsia="ar-SA"/>
        </w:rPr>
      </w:pPr>
      <w:r>
        <w:rPr>
          <w:rFonts w:eastAsia="ArialMT;Arial" w:cs="Arial" w:ascii="Arial" w:hAnsi="Arial"/>
          <w:b/>
          <w:bCs/>
          <w:sz w:val="20"/>
          <w:szCs w:val="20"/>
          <w:lang w:eastAsia="ar-SA"/>
        </w:rPr>
      </w:r>
    </w:p>
    <w:tbl>
      <w:tblPr>
        <w:tblW w:w="9780" w:type="dxa"/>
        <w:jc w:val="start"/>
        <w:tblInd w:w="108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3913"/>
        <w:gridCol w:w="5867"/>
      </w:tblGrid>
      <w:tr>
        <w:trPr>
          <w:trHeight w:val="513" w:hRule="atLeast"/>
        </w:trPr>
        <w:tc>
          <w:tcPr>
            <w:tcW w:w="391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lineRule="auto" w:line="360" w:before="0"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PROCESSO</w:t>
            </w:r>
          </w:p>
        </w:tc>
        <w:tc>
          <w:tcPr>
            <w:tcW w:w="586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pacing w:lineRule="auto" w:line="360" w:before="0" w:after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cs="Arial" w:ascii="Arial" w:hAnsi="Arial"/>
                <w:b/>
                <w:sz w:val="20"/>
                <w:szCs w:val="20"/>
              </w:rPr>
              <w:t>RESPONSÁVEL</w:t>
            </w:r>
          </w:p>
        </w:tc>
      </w:tr>
      <w:tr>
        <w:trPr>
          <w:trHeight w:val="567" w:hRule="atLeast"/>
        </w:trPr>
        <w:tc>
          <w:tcPr>
            <w:tcW w:w="391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lineRule="auto" w:line="36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Elaboração</w:t>
            </w:r>
          </w:p>
        </w:tc>
        <w:tc>
          <w:tcPr>
            <w:tcW w:w="586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Amanda Prado.</w:t>
            </w:r>
          </w:p>
        </w:tc>
      </w:tr>
      <w:tr>
        <w:trPr>
          <w:trHeight w:val="567" w:hRule="atLeast"/>
        </w:trPr>
        <w:tc>
          <w:tcPr>
            <w:tcW w:w="391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lineRule="auto" w:line="36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Gestor Responsável</w:t>
            </w:r>
          </w:p>
        </w:tc>
        <w:tc>
          <w:tcPr>
            <w:tcW w:w="586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Direção.</w:t>
            </w:r>
          </w:p>
        </w:tc>
      </w:tr>
      <w:tr>
        <w:trPr>
          <w:trHeight w:val="567" w:hRule="atLeast"/>
        </w:trPr>
        <w:tc>
          <w:tcPr>
            <w:tcW w:w="391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spacing w:lineRule="auto" w:line="360" w:before="0" w:after="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cs="Arial" w:ascii="Arial" w:hAnsi="Arial"/>
                <w:sz w:val="20"/>
                <w:szCs w:val="20"/>
              </w:rPr>
              <w:t>Aprovação</w:t>
            </w:r>
          </w:p>
        </w:tc>
        <w:tc>
          <w:tcPr>
            <w:tcW w:w="586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snapToGrid w:val="false"/>
              <w:spacing w:lineRule="auto" w:line="360" w:before="0" w:after="0"/>
              <w:jc w:val="both"/>
              <w:rPr/>
            </w:pPr>
            <w:r>
              <w:rPr>
                <w:rFonts w:cs="Arial" w:ascii="Arial" w:hAnsi="Arial"/>
                <w:sz w:val="20"/>
                <w:szCs w:val="20"/>
              </w:rPr>
              <w:t>Ediane Vogt.</w:t>
            </w:r>
          </w:p>
        </w:tc>
      </w:tr>
    </w:tbl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sectPr>
      <w:headerReference w:type="default" r:id="rId36"/>
      <w:footerReference w:type="default" r:id="rId37"/>
      <w:type w:val="nextPage"/>
      <w:pgSz w:w="11906" w:h="16838"/>
      <w:pgMar w:left="1134" w:right="1134" w:gutter="0" w:header="1134" w:top="2645" w:footer="1134" w:bottom="2035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Calibri">
    <w:charset w:val="00" w:characterSet="windows-1252"/>
    <w:family w:val="swiss"/>
    <w:pitch w:val="variable"/>
  </w:font>
  <w:font w:name="Calibri Light">
    <w:charset w:val="00" w:characterSet="windows-1252"/>
    <w:family w:val="swiss"/>
    <w:pitch w:val="variable"/>
  </w:font>
  <w:font w:name="Courier New">
    <w:charset w:val="00" w:characterSet="windows-1252"/>
    <w:family w:val="modern"/>
    <w:pitch w:val="default"/>
  </w:font>
  <w:font w:name="Wingdings">
    <w:charset w:val="02"/>
    <w:family w:val="auto"/>
    <w:pitch w:val="variable"/>
  </w:font>
  <w:font w:name="OpenSymbol">
    <w:altName w:val="Arial Unicode MS"/>
    <w:charset w:val="00" w:characterSet="windows-1252"/>
    <w:family w:val="auto"/>
    <w:pitch w:val="variable"/>
  </w:font>
  <w:font w:name="Segoe UI">
    <w:charset w:val="00" w:characterSet="windows-1252"/>
    <w:family w:val="swiss"/>
    <w:pitch w:val="variable"/>
  </w:font>
  <w:font w:name="Liberation Sans">
    <w:altName w:val="Arial"/>
    <w:charset w:val="00" w:characterSet="windows-1252"/>
    <w:family w:val="swiss"/>
    <w:pitch w:val="variable"/>
  </w:font>
  <w:font w:name="Hansom FY">
    <w:altName w:val="Calibri"/>
    <w:charset w:val="00" w:characterSet="windows-1252"/>
    <w:family w:val="modern"/>
    <w:pitch w:val="variable"/>
  </w:font>
  <w:font w:name="Courier New">
    <w:charset w:val="00" w:characterSet="windows-1252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658" w:type="dxa"/>
      <w:jc w:val="start"/>
      <w:tblInd w:w="55" w:type="dxa"/>
      <w:tblLayout w:type="fixed"/>
      <w:tblCellMar>
        <w:top w:w="55" w:type="dxa"/>
        <w:start w:w="55" w:type="dxa"/>
        <w:bottom w:w="55" w:type="dxa"/>
        <w:end w:w="55" w:type="dxa"/>
      </w:tblCellMar>
    </w:tblPr>
    <w:tblGrid>
      <w:gridCol w:w="9658"/>
    </w:tblGrid>
    <w:tr>
      <w:trPr/>
      <w:tc>
        <w:tcPr>
          <w:tcW w:w="9658" w:type="dxa"/>
          <w:tcBorders>
            <w:top w:val="single" w:sz="2" w:space="0" w:color="000000"/>
            <w:start w:val="single" w:sz="2" w:space="0" w:color="000000"/>
            <w:bottom w:val="single" w:sz="2" w:space="0" w:color="000000"/>
            <w:end w:val="single" w:sz="2" w:space="0" w:color="000000"/>
          </w:tcBorders>
        </w:tcPr>
        <w:p>
          <w:pPr>
            <w:pStyle w:val="Contedodatabela"/>
            <w:spacing w:before="0" w:after="200"/>
            <w:jc w:val="end"/>
            <w:rPr/>
          </w:pPr>
          <w:r>
            <w:rPr>
              <w:rFonts w:cs="Arial" w:ascii="Arial" w:hAnsi="Arial"/>
              <w:sz w:val="20"/>
              <w:szCs w:val="20"/>
            </w:rPr>
            <w:t xml:space="preserve">PÁGINA 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PAGE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20</w:t>
          </w:r>
          <w:r>
            <w:rPr>
              <w:sz w:val="20"/>
              <w:szCs w:val="20"/>
            </w:rPr>
            <w:fldChar w:fldCharType="end"/>
          </w:r>
          <w:r>
            <w:rPr>
              <w:rFonts w:cs="Arial" w:ascii="Arial" w:hAnsi="Arial"/>
              <w:sz w:val="20"/>
              <w:szCs w:val="20"/>
            </w:rPr>
            <w:t xml:space="preserve"> DE </w:t>
          </w: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NUMPAGES \* ARABIC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 w:val="20"/>
              <w:szCs w:val="20"/>
            </w:rPr>
            <w:t>20</w:t>
          </w:r>
          <w:r>
            <w:rPr>
              <w:sz w:val="20"/>
              <w:szCs w:val="20"/>
            </w:rPr>
            <w:fldChar w:fldCharType="end"/>
          </w:r>
        </w:p>
      </w:tc>
    </w:tr>
  </w:tbl>
  <w:p>
    <w:pPr>
      <w:pStyle w:val="Footer"/>
      <w:spacing w:before="0" w:after="20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665" w:type="dxa"/>
      <w:jc w:val="start"/>
      <w:tblInd w:w="55" w:type="dxa"/>
      <w:tblLayout w:type="fixed"/>
      <w:tblCellMar>
        <w:top w:w="55" w:type="dxa"/>
        <w:start w:w="55" w:type="dxa"/>
        <w:bottom w:w="55" w:type="dxa"/>
        <w:end w:w="55" w:type="dxa"/>
      </w:tblCellMar>
    </w:tblPr>
    <w:tblGrid>
      <w:gridCol w:w="2040"/>
      <w:gridCol w:w="5325"/>
      <w:gridCol w:w="2300"/>
    </w:tblGrid>
    <w:tr>
      <w:trPr>
        <w:cantSplit w:val="true"/>
      </w:trPr>
      <w:tc>
        <w:tcPr>
          <w:tcW w:w="2040" w:type="dxa"/>
          <w:vMerge w:val="restart"/>
          <w:tcBorders>
            <w:top w:val="single" w:sz="2" w:space="0" w:color="000000"/>
            <w:start w:val="single" w:sz="2" w:space="0" w:color="000000"/>
            <w:bottom w:val="single" w:sz="2" w:space="0" w:color="000000"/>
          </w:tcBorders>
          <w:vAlign w:val="center"/>
        </w:tcPr>
        <w:p>
          <w:pPr>
            <w:pStyle w:val="Normal"/>
            <w:pageBreakBefore/>
            <w:snapToGrid w:val="false"/>
            <w:spacing w:lineRule="auto" w:line="360" w:before="0" w:after="200"/>
            <w:jc w:val="center"/>
            <w:rPr>
              <w:rFonts w:ascii="Hansom FY;Calibri" w:hAnsi="Hansom FY;Calibri" w:cs="Hansom FY;Calibri"/>
              <w:b/>
              <w:bCs/>
              <w:sz w:val="28"/>
              <w:szCs w:val="28"/>
              <w:lang w:val="pt-BR" w:eastAsia="pt-BR"/>
            </w:rPr>
          </w:pPr>
          <w:r>
            <w:rPr>
              <w:rFonts w:cs="Hansom FY;Calibri" w:ascii="Hansom FY;Calibri" w:hAnsi="Hansom FY;Calibri"/>
              <w:b/>
              <w:bCs/>
              <w:sz w:val="28"/>
              <w:szCs w:val="28"/>
              <w:lang w:val="pt-BR" w:eastAsia="pt-BR"/>
            </w:rPr>
            <w:drawing>
              <wp:anchor behindDoc="0" distT="0" distB="0" distL="0" distR="0" simplePos="0" locked="0" layoutInCell="1" allowOverlap="1" relativeHeight="50">
                <wp:simplePos x="0" y="0"/>
                <wp:positionH relativeFrom="column">
                  <wp:posOffset>449580</wp:posOffset>
                </wp:positionH>
                <wp:positionV relativeFrom="paragraph">
                  <wp:posOffset>134620</wp:posOffset>
                </wp:positionV>
                <wp:extent cx="294005" cy="394970"/>
                <wp:effectExtent l="0" t="0" r="0" b="0"/>
                <wp:wrapSquare wrapText="largest"/>
                <wp:docPr id="35" name="Imagem 3" descr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m 3" descr="" title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85" t="-295" r="78378" b="-29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4005" cy="3949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325" w:type="dxa"/>
          <w:vMerge w:val="restart"/>
          <w:tcBorders>
            <w:top w:val="single" w:sz="2" w:space="0" w:color="000000"/>
            <w:start w:val="single" w:sz="2" w:space="0" w:color="000000"/>
            <w:bottom w:val="single" w:sz="2" w:space="0" w:color="000000"/>
          </w:tcBorders>
          <w:vAlign w:val="center"/>
        </w:tcPr>
        <w:p>
          <w:pPr>
            <w:pStyle w:val="Normal"/>
            <w:spacing w:lineRule="auto" w:line="360"/>
            <w:jc w:val="center"/>
            <w:rPr>
              <w:rFonts w:ascii="Hansom FY;Calibri" w:hAnsi="Hansom FY;Calibri" w:cs="Hansom FY;Calibri"/>
              <w:b/>
              <w:bCs/>
              <w:sz w:val="28"/>
              <w:szCs w:val="28"/>
            </w:rPr>
          </w:pPr>
          <w:r>
            <w:rPr>
              <w:rFonts w:cs="Hansom FY;Calibri" w:ascii="Hansom FY;Calibri" w:hAnsi="Hansom FY;Calibri"/>
              <w:b/>
              <w:bCs/>
              <w:sz w:val="28"/>
              <w:szCs w:val="28"/>
            </w:rPr>
            <w:t>INSTRUÇÃO DE TRABALHO</w:t>
          </w:r>
        </w:p>
        <w:p>
          <w:pPr>
            <w:pStyle w:val="Normal"/>
            <w:spacing w:lineRule="auto" w:line="360" w:before="0" w:after="200"/>
            <w:jc w:val="center"/>
            <w:rPr>
              <w:rFonts w:ascii="Hansom FY;Calibri" w:hAnsi="Hansom FY;Calibri" w:cs="Hansom FY;Calibri"/>
              <w:sz w:val="28"/>
              <w:szCs w:val="28"/>
            </w:rPr>
          </w:pPr>
          <w:r>
            <w:rPr>
              <w:rFonts w:cs="Hansom FY;Calibri" w:ascii="Hansom FY;Calibri" w:hAnsi="Hansom FY;Calibri"/>
              <w:b/>
              <w:bCs/>
              <w:sz w:val="28"/>
              <w:szCs w:val="28"/>
            </w:rPr>
            <w:t>AUDITORIA INTERNA</w:t>
          </w:r>
        </w:p>
      </w:tc>
      <w:tc>
        <w:tcPr>
          <w:tcW w:w="2300" w:type="dxa"/>
          <w:tcBorders>
            <w:top w:val="single" w:sz="2" w:space="0" w:color="000000"/>
            <w:start w:val="single" w:sz="2" w:space="0" w:color="000000"/>
            <w:bottom w:val="single" w:sz="2" w:space="0" w:color="000000"/>
            <w:end w:val="single" w:sz="2" w:space="0" w:color="000000"/>
          </w:tcBorders>
          <w:vAlign w:val="center"/>
        </w:tcPr>
        <w:p>
          <w:pPr>
            <w:pStyle w:val="Contedodatabela"/>
            <w:spacing w:before="0" w:after="200"/>
            <w:jc w:val="center"/>
            <w:rPr/>
          </w:pPr>
          <w:r>
            <w:rPr>
              <w:rFonts w:cs="Hansom FY;Calibri" w:ascii="Hansom FY;Calibri" w:hAnsi="Hansom FY;Calibri"/>
              <w:sz w:val="28"/>
              <w:szCs w:val="28"/>
            </w:rPr>
            <w:t>IT31 REV05</w:t>
          </w:r>
        </w:p>
      </w:tc>
    </w:tr>
    <w:tr>
      <w:trPr>
        <w:cantSplit w:val="true"/>
      </w:trPr>
      <w:tc>
        <w:tcPr>
          <w:tcW w:w="2040" w:type="dxa"/>
          <w:vMerge w:val="continue"/>
          <w:tcBorders>
            <w:top w:val="single" w:sz="2" w:space="0" w:color="000000"/>
            <w:start w:val="single" w:sz="2" w:space="0" w:color="000000"/>
            <w:bottom w:val="single" w:sz="2" w:space="0" w:color="000000"/>
          </w:tcBorders>
          <w:vAlign w:val="center"/>
        </w:tcPr>
        <w:p>
          <w:pPr>
            <w:pStyle w:val="Normal"/>
            <w:snapToGrid w:val="false"/>
            <w:spacing w:before="0" w:after="200"/>
            <w:rPr/>
          </w:pPr>
          <w:r>
            <w:rPr/>
          </w:r>
        </w:p>
      </w:tc>
      <w:tc>
        <w:tcPr>
          <w:tcW w:w="5325" w:type="dxa"/>
          <w:vMerge w:val="continue"/>
          <w:tcBorders>
            <w:top w:val="single" w:sz="2" w:space="0" w:color="000000"/>
            <w:start w:val="single" w:sz="2" w:space="0" w:color="000000"/>
            <w:bottom w:val="single" w:sz="2" w:space="0" w:color="000000"/>
          </w:tcBorders>
          <w:vAlign w:val="center"/>
        </w:tcPr>
        <w:p>
          <w:pPr>
            <w:pStyle w:val="Normal"/>
            <w:snapToGrid w:val="false"/>
            <w:spacing w:before="0" w:after="200"/>
            <w:rPr/>
          </w:pPr>
          <w:r>
            <w:rPr/>
          </w:r>
        </w:p>
      </w:tc>
      <w:tc>
        <w:tcPr>
          <w:tcW w:w="2300" w:type="dxa"/>
          <w:tcBorders>
            <w:start w:val="single" w:sz="2" w:space="0" w:color="000000"/>
            <w:bottom w:val="single" w:sz="2" w:space="0" w:color="000000"/>
            <w:end w:val="single" w:sz="2" w:space="0" w:color="000000"/>
          </w:tcBorders>
          <w:vAlign w:val="center"/>
        </w:tcPr>
        <w:p>
          <w:pPr>
            <w:pStyle w:val="Contedodatabela"/>
            <w:spacing w:before="0" w:after="200"/>
            <w:jc w:val="center"/>
            <w:rPr>
              <w:rFonts w:ascii="Hansom FY;Calibri" w:hAnsi="Hansom FY;Calibri" w:cs="Hansom FY;Calibri"/>
              <w:sz w:val="28"/>
              <w:szCs w:val="28"/>
            </w:rPr>
          </w:pPr>
          <w:r>
            <w:rPr>
              <w:rFonts w:cs="Hansom FY;Calibri" w:ascii="Hansom FY;Calibri" w:hAnsi="Hansom FY;Calibri"/>
              <w:sz w:val="28"/>
              <w:szCs w:val="28"/>
            </w:rPr>
            <w:t>14/03/2025</w:t>
          </w:r>
        </w:p>
      </w:tc>
    </w:tr>
  </w:tbl>
  <w:p>
    <w:pPr>
      <w:pStyle w:val="Normal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pStyle w:val="Heading5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pStyle w:val="Heading6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pStyle w:val="Heading7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pStyle w:val="Heading8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pStyle w:val="Heading9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432" w:hanging="432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576" w:hanging="576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720" w:hanging="72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864" w:hanging="864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1008" w:hanging="1008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1152" w:hanging="1152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1296" w:hanging="1296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1440" w:hanging="144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1584" w:hanging="1584"/>
      </w:p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b/>
        <w:bCs/>
      </w:r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sz w:val="20"/>
        <w:kern w:val="2"/>
        <w:szCs w:val="20"/>
        <w:rFonts w:ascii="Arial" w:hAnsi="Arial" w:eastAsia="Times New Roman" w:cs="Arial"/>
        <w:lang w:eastAsia="pt-BR" w:bidi="ar-SA"/>
      </w:r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abstractNum w:abstractNumId="5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rFonts w:cs="Arial"/>
      </w:r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rFonts w:cs="Arial"/>
      </w:r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abstractNum w:abstractNumId="7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abstractNum w:abstractNumId="8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>
        <w:sz w:val="20"/>
        <w:kern w:val="2"/>
        <w:szCs w:val="20"/>
        <w:rFonts w:ascii="Arial" w:hAnsi="Arial" w:eastAsia="Times New Roman" w:cs="Arial"/>
        <w:color w:val="000000"/>
        <w:lang w:eastAsia="pt-BR" w:bidi="ar-SA"/>
      </w:r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start"/>
      <w:pPr>
        <w:tabs>
          <w:tab w:val="num" w:pos="2880"/>
        </w:tabs>
        <w:ind w:star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start"/>
      <w:pPr>
        <w:tabs>
          <w:tab w:val="num" w:pos="3600"/>
        </w:tabs>
        <w:ind w:star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start"/>
      <w:pPr>
        <w:tabs>
          <w:tab w:val="num" w:pos="4320"/>
        </w:tabs>
        <w:ind w:star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start"/>
      <w:pPr>
        <w:tabs>
          <w:tab w:val="num" w:pos="5040"/>
        </w:tabs>
        <w:ind w:star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start"/>
      <w:pPr>
        <w:tabs>
          <w:tab w:val="num" w:pos="5760"/>
        </w:tabs>
        <w:ind w:star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start"/>
      <w:pPr>
        <w:tabs>
          <w:tab w:val="num" w:pos="6480"/>
        </w:tabs>
        <w:ind w:star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88" w:before="0" w:after="200"/>
    </w:pPr>
    <w:rPr>
      <w:rFonts w:ascii="Calibri" w:hAnsi="Calibri" w:eastAsia="Times New Roman" w:cs="Times New Roman"/>
      <w:color w:val="auto"/>
      <w:sz w:val="21"/>
      <w:szCs w:val="21"/>
      <w:lang w:val="pt-BR" w:bidi="ar-SA" w:eastAsia="zh-CN"/>
    </w:rPr>
  </w:style>
  <w:style w:type="paragraph" w:styleId="Heading1">
    <w:name w:val="heading 1"/>
    <w:basedOn w:val="Heading3"/>
    <w:next w:val="Normal"/>
    <w:qFormat/>
    <w:pPr>
      <w:numPr>
        <w:ilvl w:val="0"/>
        <w:numId w:val="1"/>
      </w:numPr>
      <w:outlineLvl w:val="0"/>
    </w:pPr>
    <w:rPr>
      <w:rFonts w:ascii="Arial" w:hAnsi="Arial" w:eastAsia="Times New Roman" w:cs="Arial"/>
      <w:b/>
      <w:color w:val="000000"/>
      <w:sz w:val="20"/>
      <w:szCs w:val="2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spacing w:lineRule="auto" w:line="240" w:before="80" w:after="0"/>
      <w:outlineLvl w:val="1"/>
    </w:pPr>
    <w:rPr>
      <w:rFonts w:ascii="Calibri Light" w:hAnsi="Calibri Light" w:eastAsia="SimSun;宋体" w:cs="Calibri Light"/>
      <w:b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spacing w:lineRule="auto" w:line="240" w:before="80" w:after="0"/>
      <w:outlineLvl w:val="2"/>
    </w:pPr>
    <w:rPr>
      <w:rFonts w:ascii="Calibri Light" w:hAnsi="Calibri Light" w:eastAsia="SimSun;宋体" w:cs="Times New Roman"/>
      <w:color w:val="538135"/>
      <w:sz w:val="24"/>
      <w:szCs w:val="24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spacing w:before="80" w:after="0"/>
      <w:outlineLvl w:val="3"/>
    </w:pPr>
    <w:rPr>
      <w:rFonts w:ascii="Calibri Light" w:hAnsi="Calibri Light" w:eastAsia="SimSun;宋体" w:cs="Times New Roman"/>
      <w:color w:val="70AD47"/>
      <w:sz w:val="22"/>
      <w:szCs w:val="22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SimSun;宋体" w:cs="Times New Roman"/>
      <w:i/>
      <w:iCs/>
      <w:color w:val="70AD47"/>
      <w:sz w:val="22"/>
      <w:szCs w:val="22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SimSun;宋体" w:cs="Times New Roman"/>
      <w:color w:val="70AD47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SimSun;宋体" w:cs="Times New Roman"/>
      <w:b/>
      <w:bCs/>
      <w:color w:val="70AD47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SimSun;宋体" w:cs="Times New Roman"/>
      <w:b/>
      <w:bCs/>
      <w:i/>
      <w:iCs/>
      <w:color w:val="70AD47"/>
      <w:sz w:val="20"/>
      <w:szCs w:val="20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SimSun;宋体" w:cs="Times New Roman"/>
      <w:i/>
      <w:iCs/>
      <w:color w:val="70AD47"/>
      <w:sz w:val="20"/>
      <w:szCs w:val="20"/>
    </w:rPr>
  </w:style>
  <w:style w:type="character" w:styleId="WW8Num3z0">
    <w:name w:val="WW8Num3z0"/>
    <w:qFormat/>
    <w:rPr/>
  </w:style>
  <w:style w:type="character" w:styleId="WW8Num4z0">
    <w:name w:val="WW8Num4z0"/>
    <w:qFormat/>
    <w:rPr>
      <w:b/>
      <w:bCs/>
    </w:rPr>
  </w:style>
  <w:style w:type="character" w:styleId="WW8Num5z0">
    <w:name w:val="WW8Num5z0"/>
    <w:qFormat/>
    <w:rPr>
      <w:rFonts w:ascii="Arial" w:hAnsi="Arial" w:eastAsia="Times New Roman" w:cs="Arial"/>
      <w:kern w:val="2"/>
      <w:sz w:val="20"/>
      <w:szCs w:val="20"/>
      <w:lang w:eastAsia="pt-BR" w:bidi="ar-SA"/>
    </w:rPr>
  </w:style>
  <w:style w:type="character" w:styleId="WW8Num6z0">
    <w:name w:val="WW8Num6z0"/>
    <w:qFormat/>
    <w:rPr>
      <w:rFonts w:cs="Arial"/>
    </w:rPr>
  </w:style>
  <w:style w:type="character" w:styleId="WW8Num7z0">
    <w:name w:val="WW8Num7z0"/>
    <w:qFormat/>
    <w:rPr>
      <w:rFonts w:cs="Arial"/>
    </w:rPr>
  </w:style>
  <w:style w:type="character" w:styleId="WW8Num9z0">
    <w:name w:val="WW8Num9z0"/>
    <w:qFormat/>
    <w:rPr>
      <w:rFonts w:ascii="Arial" w:hAnsi="Arial" w:eastAsia="Times New Roman" w:cs="Arial"/>
      <w:color w:val="000000"/>
      <w:kern w:val="2"/>
      <w:sz w:val="20"/>
      <w:szCs w:val="20"/>
      <w:lang w:eastAsia="pt-BR" w:bidi="ar-SA"/>
    </w:rPr>
  </w:style>
  <w:style w:type="character" w:styleId="WW8Num10z0">
    <w:name w:val="WW8Num10z0"/>
    <w:qFormat/>
    <w:rPr>
      <w:rFonts w:ascii="Arial" w:hAnsi="Arial" w:eastAsia="Times New Roman" w:cs="Arial"/>
      <w:kern w:val="2"/>
      <w:sz w:val="20"/>
      <w:szCs w:val="20"/>
      <w:lang w:eastAsia="pt-BR" w:bidi="ar-SA"/>
    </w:rPr>
  </w:style>
  <w:style w:type="character" w:styleId="WW8Num11z0">
    <w:name w:val="WW8Num11z0"/>
    <w:qFormat/>
    <w:rPr>
      <w:rFonts w:ascii="Symbol" w:hAnsi="Symbol" w:cs="Symbol"/>
      <w:sz w:val="20"/>
    </w:rPr>
  </w:style>
  <w:style w:type="character" w:styleId="WW8Num11z1">
    <w:name w:val="WW8Num11z1"/>
    <w:qFormat/>
    <w:rPr>
      <w:rFonts w:ascii="Courier New" w:hAnsi="Courier New" w:cs="Courier New"/>
      <w:sz w:val="20"/>
    </w:rPr>
  </w:style>
  <w:style w:type="character" w:styleId="WW8Num11z2">
    <w:name w:val="WW8Num11z2"/>
    <w:qFormat/>
    <w:rPr>
      <w:rFonts w:ascii="Wingdings" w:hAnsi="Wingdings" w:cs="Wingdings"/>
      <w:sz w:val="20"/>
    </w:rPr>
  </w:style>
  <w:style w:type="character" w:styleId="Fontepargpadro">
    <w:name w:val="Fonte parág. padrão"/>
    <w:qFormat/>
    <w:rPr/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1">
    <w:name w:val="WW8Num9z1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2z0">
    <w:name w:val="WW8Num12z0"/>
    <w:qFormat/>
    <w:rPr/>
  </w:style>
  <w:style w:type="character" w:styleId="WW8Num12z1">
    <w:name w:val="WW8Num12z1"/>
    <w:qFormat/>
    <w:rPr/>
  </w:style>
  <w:style w:type="character" w:styleId="WW8Num12z2">
    <w:name w:val="WW8Num12z2"/>
    <w:qFormat/>
    <w:rPr/>
  </w:style>
  <w:style w:type="character" w:styleId="WW8Num12z3">
    <w:name w:val="WW8Num12z3"/>
    <w:qFormat/>
    <w:rPr/>
  </w:style>
  <w:style w:type="character" w:styleId="WW8Num12z4">
    <w:name w:val="WW8Num12z4"/>
    <w:qFormat/>
    <w:rPr/>
  </w:style>
  <w:style w:type="character" w:styleId="WW8Num12z5">
    <w:name w:val="WW8Num12z5"/>
    <w:qFormat/>
    <w:rPr/>
  </w:style>
  <w:style w:type="character" w:styleId="WW8Num12z6">
    <w:name w:val="WW8Num12z6"/>
    <w:qFormat/>
    <w:rPr/>
  </w:style>
  <w:style w:type="character" w:styleId="WW8Num12z7">
    <w:name w:val="WW8Num12z7"/>
    <w:qFormat/>
    <w:rPr/>
  </w:style>
  <w:style w:type="character" w:styleId="WW8Num12z8">
    <w:name w:val="WW8Num12z8"/>
    <w:qFormat/>
    <w:rPr/>
  </w:style>
  <w:style w:type="character" w:styleId="Fontepargpadro2">
    <w:name w:val="Fonte parág. padrão2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11z3">
    <w:name w:val="WW8Num11z3"/>
    <w:qFormat/>
    <w:rPr/>
  </w:style>
  <w:style w:type="character" w:styleId="WW8Num11z4">
    <w:name w:val="WW8Num11z4"/>
    <w:qFormat/>
    <w:rPr/>
  </w:style>
  <w:style w:type="character" w:styleId="WW8Num11z5">
    <w:name w:val="WW8Num11z5"/>
    <w:qFormat/>
    <w:rPr/>
  </w:style>
  <w:style w:type="character" w:styleId="WW8Num11z6">
    <w:name w:val="WW8Num11z6"/>
    <w:qFormat/>
    <w:rPr/>
  </w:style>
  <w:style w:type="character" w:styleId="WW8Num11z7">
    <w:name w:val="WW8Num11z7"/>
    <w:qFormat/>
    <w:rPr/>
  </w:style>
  <w:style w:type="character" w:styleId="WW8Num11z8">
    <w:name w:val="WW8Num11z8"/>
    <w:qFormat/>
    <w:rPr/>
  </w:style>
  <w:style w:type="character" w:styleId="Fontepargpadro1">
    <w:name w:val="Fonte parág. padrão1"/>
    <w:qFormat/>
    <w:rPr/>
  </w:style>
  <w:style w:type="character" w:styleId="Hyperlink">
    <w:name w:val="Hyperlink"/>
    <w:rPr>
      <w:color w:val="000080"/>
      <w:u w:val="single"/>
      <w:lang w:val="zxx" w:bidi="zxx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WW8Num16z0">
    <w:name w:val="WW8Num16z0"/>
    <w:qFormat/>
    <w:rPr/>
  </w:style>
  <w:style w:type="character" w:styleId="TextodebaloChar">
    <w:name w:val="Texto de balão Char"/>
    <w:qFormat/>
    <w:rPr>
      <w:rFonts w:ascii="Segoe UI" w:hAnsi="Segoe UI" w:eastAsia="SimSun;宋体" w:cs="Mangal"/>
      <w:kern w:val="2"/>
      <w:sz w:val="18"/>
      <w:szCs w:val="16"/>
      <w:lang w:eastAsia="zh-CN" w:bidi="hi-IN"/>
    </w:rPr>
  </w:style>
  <w:style w:type="character" w:styleId="Ttulo1Char">
    <w:name w:val="Título 1 Char"/>
    <w:qFormat/>
    <w:rPr>
      <w:rFonts w:ascii="Arial" w:hAnsi="Arial" w:cs="Arial"/>
      <w:b/>
    </w:rPr>
  </w:style>
  <w:style w:type="character" w:styleId="Ttulo2Char">
    <w:name w:val="Título 2 Char"/>
    <w:qFormat/>
    <w:rPr>
      <w:rFonts w:ascii="Calibri Light" w:hAnsi="Calibri Light" w:eastAsia="SimSun;宋体" w:cs="Calibri Light"/>
      <w:b/>
      <w:sz w:val="28"/>
      <w:szCs w:val="28"/>
    </w:rPr>
  </w:style>
  <w:style w:type="character" w:styleId="Ttulo3Char">
    <w:name w:val="Título 3 Char"/>
    <w:qFormat/>
    <w:rPr>
      <w:rFonts w:ascii="Calibri Light" w:hAnsi="Calibri Light" w:eastAsia="SimSun;宋体" w:cs="Times New Roman"/>
      <w:color w:val="538135"/>
      <w:sz w:val="24"/>
      <w:szCs w:val="24"/>
    </w:rPr>
  </w:style>
  <w:style w:type="character" w:styleId="Ttulo4Char">
    <w:name w:val="Título 4 Char"/>
    <w:qFormat/>
    <w:rPr>
      <w:rFonts w:ascii="Calibri Light" w:hAnsi="Calibri Light" w:eastAsia="SimSun;宋体" w:cs="Times New Roman"/>
      <w:color w:val="70AD47"/>
      <w:sz w:val="22"/>
      <w:szCs w:val="22"/>
    </w:rPr>
  </w:style>
  <w:style w:type="character" w:styleId="Ttulo5Char">
    <w:name w:val="Título 5 Char"/>
    <w:qFormat/>
    <w:rPr>
      <w:rFonts w:ascii="Calibri Light" w:hAnsi="Calibri Light" w:eastAsia="SimSun;宋体" w:cs="Times New Roman"/>
      <w:i/>
      <w:iCs/>
      <w:color w:val="70AD47"/>
      <w:sz w:val="22"/>
      <w:szCs w:val="22"/>
    </w:rPr>
  </w:style>
  <w:style w:type="character" w:styleId="Ttulo6Char">
    <w:name w:val="Título 6 Char"/>
    <w:qFormat/>
    <w:rPr>
      <w:rFonts w:ascii="Calibri Light" w:hAnsi="Calibri Light" w:eastAsia="SimSun;宋体" w:cs="Times New Roman"/>
      <w:color w:val="70AD47"/>
    </w:rPr>
  </w:style>
  <w:style w:type="character" w:styleId="Ttulo7Char">
    <w:name w:val="Título 7 Char"/>
    <w:qFormat/>
    <w:rPr>
      <w:rFonts w:ascii="Calibri Light" w:hAnsi="Calibri Light" w:eastAsia="SimSun;宋体" w:cs="Times New Roman"/>
      <w:b/>
      <w:bCs/>
      <w:color w:val="70AD47"/>
    </w:rPr>
  </w:style>
  <w:style w:type="character" w:styleId="Ttulo8Char">
    <w:name w:val="Título 8 Char"/>
    <w:qFormat/>
    <w:rPr>
      <w:rFonts w:ascii="Calibri Light" w:hAnsi="Calibri Light" w:eastAsia="SimSun;宋体" w:cs="Times New Roman"/>
      <w:b/>
      <w:bCs/>
      <w:i/>
      <w:iCs/>
      <w:color w:val="70AD47"/>
      <w:sz w:val="20"/>
      <w:szCs w:val="20"/>
    </w:rPr>
  </w:style>
  <w:style w:type="character" w:styleId="Ttulo9Char">
    <w:name w:val="Título 9 Char"/>
    <w:qFormat/>
    <w:rPr>
      <w:rFonts w:ascii="Calibri Light" w:hAnsi="Calibri Light" w:eastAsia="SimSun;宋体" w:cs="Times New Roman"/>
      <w:i/>
      <w:iCs/>
      <w:color w:val="70AD47"/>
      <w:sz w:val="20"/>
      <w:szCs w:val="20"/>
    </w:rPr>
  </w:style>
  <w:style w:type="character" w:styleId="TtuloChar">
    <w:name w:val="Título Char"/>
    <w:qFormat/>
    <w:rPr>
      <w:rFonts w:ascii="Calibri Light" w:hAnsi="Calibri Light" w:eastAsia="SimSun;宋体" w:cs="Times New Roman"/>
      <w:color w:val="262626"/>
      <w:spacing w:val="-15"/>
      <w:sz w:val="96"/>
      <w:szCs w:val="96"/>
    </w:rPr>
  </w:style>
  <w:style w:type="character" w:styleId="SubttuloChar">
    <w:name w:val="Subtítulo Char"/>
    <w:qFormat/>
    <w:rPr>
      <w:rFonts w:ascii="Calibri Light" w:hAnsi="Calibri Light" w:eastAsia="SimSun;宋体" w:cs="Times New Roman"/>
      <w:sz w:val="30"/>
      <w:szCs w:val="30"/>
    </w:rPr>
  </w:style>
  <w:style w:type="character" w:styleId="Emphasis">
    <w:name w:val="Emphasis"/>
    <w:qFormat/>
    <w:rPr>
      <w:i/>
      <w:iCs/>
      <w:color w:val="70AD47"/>
    </w:rPr>
  </w:style>
  <w:style w:type="character" w:styleId="CitaoChar">
    <w:name w:val="Citação Char"/>
    <w:qFormat/>
    <w:rPr>
      <w:i/>
      <w:iCs/>
      <w:color w:val="262626"/>
    </w:rPr>
  </w:style>
  <w:style w:type="character" w:styleId="CitaoIntensaChar">
    <w:name w:val="Citação Intensa Char"/>
    <w:qFormat/>
    <w:rPr>
      <w:rFonts w:ascii="Calibri Light" w:hAnsi="Calibri Light" w:eastAsia="SimSun;宋体" w:cs="Times New Roman"/>
      <w:i/>
      <w:iCs/>
      <w:color w:val="70AD47"/>
      <w:sz w:val="32"/>
      <w:szCs w:val="32"/>
    </w:rPr>
  </w:style>
  <w:style w:type="character" w:styleId="nfaseSutil">
    <w:name w:val="Ênfase Sutil"/>
    <w:qFormat/>
    <w:rPr>
      <w:i/>
      <w:iCs/>
    </w:rPr>
  </w:style>
  <w:style w:type="character" w:styleId="nfaseIntensa">
    <w:name w:val="Ênfase Intensa"/>
    <w:qFormat/>
    <w:rPr>
      <w:b/>
      <w:bCs/>
      <w:i/>
      <w:iCs/>
    </w:rPr>
  </w:style>
  <w:style w:type="character" w:styleId="RefernciaSutil">
    <w:name w:val="Referência Sutil"/>
    <w:qFormat/>
    <w:rPr>
      <w:smallCaps/>
      <w:color w:val="595959"/>
    </w:rPr>
  </w:style>
  <w:style w:type="character" w:styleId="RefernciaIntensa">
    <w:name w:val="Referência Intensa"/>
    <w:qFormat/>
    <w:rPr>
      <w:b/>
      <w:bCs/>
      <w:smallCaps/>
      <w:color w:val="70AD47"/>
    </w:rPr>
  </w:style>
  <w:style w:type="character" w:styleId="TtulodoLivro">
    <w:name w:val="Título do Livro"/>
    <w:qFormat/>
    <w:rPr>
      <w:b/>
      <w:bCs/>
      <w:caps w:val="false"/>
      <w:smallCaps w:val="false"/>
      <w:spacing w:val="7"/>
      <w:sz w:val="21"/>
      <w:szCs w:val="21"/>
    </w:rPr>
  </w:style>
  <w:style w:type="paragraph" w:styleId="Ttulo">
    <w:name w:val="Título"/>
    <w:basedOn w:val="Normal"/>
    <w:next w:val="Normal"/>
    <w:qFormat/>
    <w:pPr>
      <w:spacing w:lineRule="auto" w:line="240" w:before="0" w:after="0"/>
      <w:contextualSpacing/>
    </w:pPr>
    <w:rPr>
      <w:rFonts w:ascii="Calibri Light" w:hAnsi="Calibri Light" w:eastAsia="SimSun;宋体" w:cs="Times New Roman"/>
      <w:color w:val="262626"/>
      <w:spacing w:val="-15"/>
      <w:sz w:val="96"/>
      <w:szCs w:val="96"/>
    </w:rPr>
  </w:style>
  <w:style w:type="paragraph" w:styleId="BodyText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BodyText"/>
    <w:pPr/>
    <w:rPr>
      <w:rFonts w:cs="Mangal"/>
    </w:rPr>
  </w:style>
  <w:style w:type="paragraph" w:styleId="Caption">
    <w:name w:val="caption"/>
    <w:basedOn w:val="Normal"/>
    <w:next w:val="Normal"/>
    <w:qFormat/>
    <w:pPr>
      <w:spacing w:lineRule="auto" w:line="240"/>
    </w:pPr>
    <w:rPr>
      <w:b/>
      <w:bCs/>
      <w:smallCaps/>
      <w:color w:val="595959"/>
    </w:rPr>
  </w:style>
  <w:style w:type="paragraph" w:styleId="ndice">
    <w:name w:val="Índice"/>
    <w:basedOn w:val="Normal"/>
    <w:qFormat/>
    <w:pPr>
      <w:suppressLineNumbers/>
    </w:pPr>
    <w:rPr>
      <w:rFonts w:cs="Mangal"/>
    </w:rPr>
  </w:style>
  <w:style w:type="paragraph" w:styleId="Ttulo1">
    <w:name w:val="Título1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tulo2">
    <w:name w:val="Título2"/>
    <w:basedOn w:val="Ttulo1"/>
    <w:next w:val="BodyText"/>
    <w:qFormat/>
    <w:pPr>
      <w:jc w:val="center"/>
    </w:pPr>
    <w:rPr>
      <w:b/>
      <w:bCs/>
      <w:sz w:val="56"/>
      <w:szCs w:val="56"/>
    </w:rPr>
  </w:style>
  <w:style w:type="paragraph" w:styleId="Ttulo3">
    <w:name w:val="Título3"/>
    <w:basedOn w:val="Ttulo2"/>
    <w:next w:val="BodyText"/>
    <w:qFormat/>
    <w:pPr>
      <w:jc w:val="center"/>
    </w:pPr>
    <w:rPr>
      <w:b/>
      <w:bCs/>
      <w:sz w:val="56"/>
      <w:szCs w:val="56"/>
    </w:rPr>
  </w:style>
  <w:style w:type="paragraph" w:styleId="Citaes">
    <w:name w:val="Citações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Normal"/>
    <w:next w:val="Normal"/>
    <w:qFormat/>
    <w:pPr>
      <w:numPr>
        <w:ilvl w:val="0"/>
        <w:numId w:val="0"/>
      </w:numPr>
      <w:spacing w:lineRule="auto" w:line="240"/>
      <w:ind w:hanging="0" w:start="0" w:end="0"/>
    </w:pPr>
    <w:rPr>
      <w:rFonts w:ascii="Calibri Light" w:hAnsi="Calibri Light" w:eastAsia="SimSun;宋体" w:cs="Times New Roman"/>
      <w:sz w:val="30"/>
      <w:szCs w:val="30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tabs>
        <w:tab w:val="clear" w:pos="709"/>
        <w:tab w:val="center" w:pos="4419" w:leader="none"/>
        <w:tab w:val="right" w:pos="8838" w:leader="none"/>
      </w:tabs>
    </w:pPr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BodyText2">
    <w:name w:val="Body Text 2"/>
    <w:basedOn w:val="Normal"/>
    <w:qFormat/>
    <w:pPr>
      <w:jc w:val="both"/>
    </w:pPr>
    <w:rPr>
      <w:rFonts w:ascii="Arial" w:hAnsi="Arial" w:cs="Arial"/>
      <w:sz w:val="24"/>
    </w:rPr>
  </w:style>
  <w:style w:type="paragraph" w:styleId="Ttulo10">
    <w:name w:val="Título 10"/>
    <w:basedOn w:val="Ttulo1"/>
    <w:next w:val="BodyText"/>
    <w:qFormat/>
    <w:pPr>
      <w:numPr>
        <w:ilvl w:val="0"/>
        <w:numId w:val="2"/>
      </w:numPr>
      <w:spacing w:before="60" w:after="60"/>
    </w:pPr>
    <w:rPr>
      <w:b/>
      <w:bCs/>
      <w:sz w:val="21"/>
      <w:szCs w:val="21"/>
    </w:rPr>
  </w:style>
  <w:style w:type="paragraph" w:styleId="NormalWeb">
    <w:name w:val="Normal (Web)"/>
    <w:basedOn w:val="Normal"/>
    <w:qFormat/>
    <w:pPr>
      <w:widowControl/>
      <w:suppressAutoHyphens w:val="false"/>
      <w:spacing w:before="100" w:after="119"/>
    </w:pPr>
    <w:rPr>
      <w:rFonts w:eastAsia="Times New Roman" w:cs="Times New Roman"/>
      <w:kern w:val="2"/>
      <w:lang w:bidi="ar-SA"/>
    </w:rPr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western">
    <w:name w:val="western"/>
    <w:basedOn w:val="Normal"/>
    <w:qFormat/>
    <w:pPr>
      <w:spacing w:before="100" w:after="119"/>
    </w:pPr>
    <w:rPr>
      <w:rFonts w:cs="Times New Roman"/>
      <w:kern w:val="2"/>
      <w:sz w:val="24"/>
      <w:szCs w:val="24"/>
    </w:rPr>
  </w:style>
  <w:style w:type="paragraph" w:styleId="Descrio">
    <w:name w:val="Descrição"/>
    <w:basedOn w:val="Header"/>
    <w:qFormat/>
    <w:pPr>
      <w:tabs>
        <w:tab w:val="clear" w:pos="4819"/>
        <w:tab w:val="clear" w:pos="9638"/>
        <w:tab w:val="center" w:pos="4320" w:leader="none"/>
        <w:tab w:val="right" w:pos="8640" w:leader="none"/>
      </w:tabs>
    </w:pPr>
    <w:rPr>
      <w:rFonts w:ascii="Calibri" w:hAnsi="Calibri" w:eastAsia="Times" w:cs="Times New Roman"/>
      <w:kern w:val="2"/>
      <w:sz w:val="16"/>
      <w:szCs w:val="20"/>
      <w:lang w:val="en-US"/>
    </w:rPr>
  </w:style>
  <w:style w:type="paragraph" w:styleId="Default">
    <w:name w:val="Default"/>
    <w:qFormat/>
    <w:pPr>
      <w:widowControl/>
      <w:suppressAutoHyphens w:val="true"/>
      <w:autoSpaceDE w:val="false"/>
      <w:bidi w:val="0"/>
      <w:spacing w:lineRule="auto" w:line="288" w:before="0" w:after="200"/>
    </w:pPr>
    <w:rPr>
      <w:rFonts w:ascii="Calibri" w:hAnsi="Calibri" w:eastAsia="Calibri" w:cs="Calibri"/>
      <w:color w:val="000000"/>
      <w:kern w:val="2"/>
      <w:sz w:val="24"/>
      <w:szCs w:val="24"/>
      <w:lang w:val="pt-BR" w:eastAsia="zh-CN" w:bidi="ar-SA"/>
    </w:rPr>
  </w:style>
  <w:style w:type="paragraph" w:styleId="Textodebalo">
    <w:name w:val="Texto de balão"/>
    <w:basedOn w:val="Normal"/>
    <w:qFormat/>
    <w:pPr/>
    <w:rPr>
      <w:rFonts w:ascii="Segoe UI" w:hAnsi="Segoe UI" w:cs="Segoe UI"/>
      <w:sz w:val="18"/>
      <w:szCs w:val="16"/>
    </w:rPr>
  </w:style>
  <w:style w:type="paragraph" w:styleId="CabealhodoSumrio">
    <w:name w:val="Cabeçalho do Sumário"/>
    <w:basedOn w:val="Heading1"/>
    <w:next w:val="Normal"/>
    <w:qFormat/>
    <w:pPr>
      <w:numPr>
        <w:ilvl w:val="0"/>
        <w:numId w:val="0"/>
      </w:numPr>
      <w:outlineLvl w:val="9"/>
    </w:pPr>
    <w:rPr>
      <w:rFonts w:ascii="Calibri Light" w:hAnsi="Calibri Light" w:eastAsia="SimSun;宋体" w:cs="Times New Roman"/>
      <w:color w:val="538135"/>
    </w:rPr>
  </w:style>
  <w:style w:type="paragraph" w:styleId="TOC1">
    <w:name w:val="toc 1"/>
    <w:basedOn w:val="Normal"/>
    <w:next w:val="Normal"/>
    <w:pPr/>
    <w:rPr>
      <w:szCs w:val="21"/>
    </w:rPr>
  </w:style>
  <w:style w:type="paragraph" w:styleId="TOC2">
    <w:name w:val="toc 2"/>
    <w:basedOn w:val="Normal"/>
    <w:next w:val="Normal"/>
    <w:pPr>
      <w:ind w:hanging="0" w:start="240" w:end="0"/>
    </w:pPr>
    <w:rPr>
      <w:szCs w:val="21"/>
    </w:rPr>
  </w:style>
  <w:style w:type="paragraph" w:styleId="TOC3">
    <w:name w:val="toc 3"/>
    <w:basedOn w:val="Normal"/>
    <w:next w:val="Normal"/>
    <w:pPr>
      <w:ind w:hanging="0" w:start="480" w:end="0"/>
    </w:pPr>
    <w:rPr>
      <w:szCs w:val="21"/>
    </w:rPr>
  </w:style>
  <w:style w:type="paragraph" w:styleId="SemEspaamento">
    <w:name w:val="Sem Espaçamento"/>
    <w:qFormat/>
    <w:pPr>
      <w:widowControl/>
      <w:bidi w:val="0"/>
    </w:pPr>
    <w:rPr>
      <w:rFonts w:ascii="Calibri" w:hAnsi="Calibri" w:eastAsia="Times New Roman" w:cs="Times New Roman"/>
      <w:color w:val="auto"/>
      <w:sz w:val="21"/>
      <w:szCs w:val="21"/>
      <w:lang w:val="pt-BR" w:bidi="ar-SA" w:eastAsia="zh-CN"/>
    </w:rPr>
  </w:style>
  <w:style w:type="paragraph" w:styleId="Citao">
    <w:name w:val="Citação"/>
    <w:basedOn w:val="Normal"/>
    <w:next w:val="Normal"/>
    <w:qFormat/>
    <w:pPr>
      <w:spacing w:before="160" w:after="200"/>
      <w:ind w:hanging="0" w:start="720" w:end="720"/>
      <w:jc w:val="center"/>
    </w:pPr>
    <w:rPr>
      <w:i/>
      <w:iCs/>
      <w:color w:val="262626"/>
    </w:rPr>
  </w:style>
  <w:style w:type="paragraph" w:styleId="CitaoIntensa">
    <w:name w:val="Citação Intensa"/>
    <w:basedOn w:val="Normal"/>
    <w:next w:val="Normal"/>
    <w:qFormat/>
    <w:pPr>
      <w:spacing w:lineRule="auto" w:line="264" w:before="160" w:after="160"/>
      <w:ind w:hanging="0" w:start="720" w:end="720"/>
      <w:jc w:val="center"/>
    </w:pPr>
    <w:rPr>
      <w:rFonts w:ascii="Calibri Light" w:hAnsi="Calibri Light" w:eastAsia="SimSun;宋体" w:cs="Times New Roman"/>
      <w:i/>
      <w:iCs/>
      <w:color w:val="70AD47"/>
      <w:sz w:val="32"/>
      <w:szCs w:val="32"/>
    </w:rPr>
  </w:style>
  <w:style w:type="paragraph" w:styleId="Reviso">
    <w:name w:val="Revisão"/>
    <w:qFormat/>
    <w:pPr>
      <w:widowControl/>
      <w:bidi w:val="0"/>
    </w:pPr>
    <w:rPr>
      <w:rFonts w:ascii="Calibri" w:hAnsi="Calibri" w:eastAsia="Times New Roman" w:cs="Times New Roman"/>
      <w:color w:val="auto"/>
      <w:sz w:val="21"/>
      <w:szCs w:val="21"/>
      <w:lang w:val="pt-BR" w:bidi="ar-SA" w:eastAsia="zh-CN"/>
    </w:rPr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9" Type="http://schemas.openxmlformats.org/officeDocument/2006/relationships/image" Target="media/image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2.png"/><Relationship Id="rId13" Type="http://schemas.openxmlformats.org/officeDocument/2006/relationships/image" Target="media/image6.png"/><Relationship Id="rId14" Type="http://schemas.openxmlformats.org/officeDocument/2006/relationships/image" Target="media/image9.png"/><Relationship Id="rId15" Type="http://schemas.openxmlformats.org/officeDocument/2006/relationships/image" Target="media/image3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2.png"/><Relationship Id="rId20" Type="http://schemas.openxmlformats.org/officeDocument/2006/relationships/image" Target="media/image6.png"/><Relationship Id="rId21" Type="http://schemas.openxmlformats.org/officeDocument/2006/relationships/image" Target="media/image13.png"/><Relationship Id="rId22" Type="http://schemas.openxmlformats.org/officeDocument/2006/relationships/image" Target="media/image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2.png"/><Relationship Id="rId29" Type="http://schemas.openxmlformats.org/officeDocument/2006/relationships/image" Target="media/image3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5.png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Application>LibreOffice/24.8.5.2$Windows_X86_64 LibreOffice_project/fddf2685c70b461e7832239a0162a77216259f22</Application>
  <AppVersion>15.0000</AppVersion>
  <Pages>20</Pages>
  <Words>2576</Words>
  <Characters>14416</Characters>
  <CharactersWithSpaces>16784</CharactersWithSpaces>
  <Paragraphs>265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2025-03-14T17:27:00Z</dcterms:created>
  <dc:creator>Fernanda Bairros Munaretto</dc:creator>
  <dc:description/>
  <cp:keywords/>
  <dc:language>pt-BR</dc:language>
  <cp:lastModifiedBy>Rotoplastyc Rotomoldados</cp:lastModifiedBy>
  <cp:lastPrinted>2021-11-04T08:29:00Z</cp:lastPrinted>
  <dcterms:modified xsi:type="dcterms:W3CDTF">2025-03-17T11:27:00Z</dcterms:modified>
  <cp:revision>4</cp:revision>
  <dc:subject/>
  <dc:title/>
</cp:coreProperties>
</file>