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Tahoma" w:cs="Tahoma" w:eastAsia="Tahoma" w:hAnsi="Tahoma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Tahoma" w:cs="Tahoma" w:eastAsia="Tahoma" w:hAnsi="Tahoma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Tahoma" w:cs="Tahoma" w:eastAsia="Tahoma" w:hAnsi="Tahoma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64"/>
          <w:szCs w:val="6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e0e0e"/>
          <w:sz w:val="64"/>
          <w:szCs w:val="64"/>
          <w:rtl w:val="0"/>
        </w:rPr>
        <w:t xml:space="preserve">Especificação de Software</w:t>
      </w:r>
    </w:p>
    <w:p w:rsidR="00000000" w:rsidDel="00000000" w:rsidP="00000000" w:rsidRDefault="00000000" w:rsidRPr="00000000" w14:paraId="0000000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64"/>
          <w:szCs w:val="6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e0e0e"/>
          <w:sz w:val="64"/>
          <w:szCs w:val="64"/>
          <w:rtl w:val="0"/>
        </w:rPr>
        <w:t xml:space="preserve">Técnica e Funcional</w:t>
      </w:r>
    </w:p>
    <w:p w:rsidR="00000000" w:rsidDel="00000000" w:rsidP="00000000" w:rsidRDefault="00000000" w:rsidRPr="00000000" w14:paraId="0000000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72"/>
          <w:szCs w:val="7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e0e0e"/>
          <w:sz w:val="72"/>
          <w:szCs w:val="72"/>
          <w:rtl w:val="0"/>
        </w:rPr>
        <w:t xml:space="preserve">SennaBank</w:t>
      </w:r>
    </w:p>
    <w:p w:rsidR="00000000" w:rsidDel="00000000" w:rsidP="00000000" w:rsidRDefault="00000000" w:rsidRPr="00000000" w14:paraId="0000000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e0e0e"/>
          <w:sz w:val="56"/>
          <w:szCs w:val="56"/>
          <w:rtl w:val="0"/>
        </w:rPr>
        <w:t xml:space="preserve">Março/2026</w:t>
      </w:r>
    </w:p>
    <w:p w:rsidR="00000000" w:rsidDel="00000000" w:rsidP="00000000" w:rsidRDefault="00000000" w:rsidRPr="00000000" w14:paraId="00000012">
      <w:pPr>
        <w:ind w:hanging="2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Controle de alterações e revisões do documento</w:t>
      </w: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988"/>
        <w:gridCol w:w="4449"/>
        <w:gridCol w:w="1276"/>
        <w:gridCol w:w="1792"/>
        <w:tblGridChange w:id="0">
          <w:tblGrid>
            <w:gridCol w:w="988"/>
            <w:gridCol w:w="4449"/>
            <w:gridCol w:w="1276"/>
            <w:gridCol w:w="1792"/>
          </w:tblGrid>
        </w:tblGridChange>
      </w:tblGrid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fae2d6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fae2d6" w:val="clea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fae2d6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Elaboração inicial com estrutura base do projeto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Matheus Raiano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Estabelecendo o site do zero e suas funcionalidades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13/04/2026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Matheus Raiano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Terminado todo o Front-End praticamente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Matheus Raiano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Atualização da documentação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07/05/2026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Pedro Peciulis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hanging="2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ahoma" w:cs="Tahoma" w:eastAsia="Tahoma" w:hAnsi="Tahoma"/>
          <w:b w:val="1"/>
          <w:bCs w:val="1"/>
          <w:color w:val="0e0e0e"/>
          <w:sz w:val="56"/>
          <w:szCs w:val="56"/>
        </w:rPr>
        <w:sectPr>
          <w:headerReference r:id="rId6" w:type="default"/>
          <w:pgSz w:h="16838" w:w="11906" w:orient="portrait"/>
          <w:pgMar w:bottom="1417" w:top="1417" w:left="1701" w:right="1701" w:header="641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rPr>
          <w:rFonts w:ascii="Play" w:cs="Play" w:eastAsia="Play" w:hAnsi="Play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28"/>
          <w:szCs w:val="28"/>
          <w:rtl w:val="0"/>
        </w:rPr>
        <w:t xml:space="preserve">Sumário</w:t>
      </w:r>
    </w:p>
    <w:sdt>
      <w:sdtPr>
        <w:id w:val="635745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3wqmsldluyl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1.</w:t>
            </w:r>
          </w:hyperlink>
          <w:hyperlink w:anchor="_v3wqmsldluy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_v3wqmsldluyl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OBJETIVO DO PROJETO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"_v3wqmsldluyl"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2cpzr87do4k4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2.</w:t>
            </w:r>
          </w:hyperlink>
          <w:hyperlink w:anchor="_2cpzr87do4k4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_2cpzr87do4k4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EQUIPE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"_2cpzr87do4k4"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r1o8o8dpao8l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3.</w:t>
            </w:r>
          </w:hyperlink>
          <w:hyperlink w:anchor="_r1o8o8dpao8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_r1o8o8dpao8l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ESPECIFICAÇÃO TÉCNICA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"_r1o8o8dpao8l"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21qi88jsro1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4.</w:t>
            </w:r>
          </w:hyperlink>
          <w:hyperlink w:anchor="_h21qi88jsro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_h21qi88jsro1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ESPECIFICAÇÃO FUNCIONAL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"_h21qi88jsro1"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bhhnwd25nbm5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5.</w:t>
            </w:r>
          </w:hyperlink>
          <w:hyperlink w:anchor="_bhhnwd25nbm5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_bhhnwd25nbm5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GLOSSÁRIO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"_bhhnwd25nbm5"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3oa74wyuwicy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6.</w:t>
            </w:r>
          </w:hyperlink>
          <w:hyperlink w:anchor="_3oa74wyuwicy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_3oa74wyuwicy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CONSIDERAÇÕES FINAIS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"_3oa74wyuwicy"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after="0" w:before="12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8x7zyj8pnpri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7.</w:t>
            </w:r>
          </w:hyperlink>
          <w:hyperlink w:anchor="_8x7zyj8pnpri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_8x7zyj8pnpri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1"/>
              <w:iCs w:val="1"/>
              <w:color w:val="000000"/>
              <w:rtl w:val="0"/>
            </w:rPr>
            <w:t xml:space="preserve">ASSINATURAS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"_8x7zyj8pnpri"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tabs>
          <w:tab w:val="left" w:leader="none" w:pos="142"/>
          <w:tab w:val="left" w:leader="none" w:pos="426"/>
        </w:tabs>
        <w:ind w:left="0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v3wqmsldluyl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OBJETIVO DO PROJETO</w:t>
      </w:r>
    </w:p>
    <w:p w:rsidR="00000000" w:rsidDel="00000000" w:rsidP="00000000" w:rsidRDefault="00000000" w:rsidRPr="00000000" w14:paraId="00000038">
      <w:pPr>
        <w:spacing w:after="240" w:before="240" w:line="324" w:lineRule="auto"/>
        <w:ind w:left="32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e0e0e"/>
          <w:rtl w:val="0"/>
        </w:rPr>
        <w:t xml:space="preserve">Desenvolver o sistema web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e0e0e"/>
          <w:rtl w:val="0"/>
        </w:rPr>
        <w:t xml:space="preserve">SennaBank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e0e0e"/>
          <w:rtl w:val="0"/>
        </w:rPr>
        <w:t xml:space="preserve">, uma plataforma bancária digital voltada ao atendimento das demandas financeiras do setor público, oferecendo serviços como cadastro de usuários, consultas de saldo, transferências e gerenciamento de pagamentos, com foco em segurança, acessibilidade e 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tabs>
          <w:tab w:val="left" w:leader="none" w:pos="142"/>
          <w:tab w:val="left" w:leader="none" w:pos="426"/>
        </w:tabs>
        <w:ind w:left="0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2cpzr87do4k4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EQUIPE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838"/>
        <w:gridCol w:w="6656"/>
        <w:tblGridChange w:id="0">
          <w:tblGrid>
            <w:gridCol w:w="1838"/>
            <w:gridCol w:w="665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CONTRATANTE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Governo do Brasil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CONTRATADO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Lucas Apolinário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Peciulis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Matheus Raiano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Front-End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Marlon Carvalho, Lucas Siqueira, Matheus Raiano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ahoma" w:cs="Tahoma" w:eastAsia="Tahoma" w:hAnsi="Tahom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Patrik Romano, Pedro Peciulis, Matheus Raiano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tabs>
          <w:tab w:val="left" w:leader="none" w:pos="142"/>
          <w:tab w:val="left" w:leader="none" w:pos="426"/>
        </w:tabs>
        <w:ind w:left="0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r1o8o8dpao8l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ESPECIFICAÇÃO TÉCNICA</w:t>
      </w:r>
    </w:p>
    <w:p w:rsidR="00000000" w:rsidDel="00000000" w:rsidP="00000000" w:rsidRDefault="00000000" w:rsidRPr="00000000" w14:paraId="00000051">
      <w:pPr>
        <w:ind w:firstLine="720"/>
        <w:rPr>
          <w:rFonts w:ascii="Tahoma" w:cs="Tahoma" w:eastAsia="Tahoma" w:hAnsi="Tahoma"/>
          <w:i w:val="1"/>
          <w:iCs w:val="1"/>
          <w:color w:val="00206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sz w:val="20"/>
          <w:szCs w:val="20"/>
          <w:rtl w:val="0"/>
        </w:rPr>
        <w:t xml:space="preserve">O sistema SennaBank foi desenvolvido com base na arquitetura cliente-servidor, seguindo o padrão MVC (Model-View-Controller). O front-end é totalmente separado do back-end, comunicando-se via requisições HTTP no futuro.</w:t>
      </w:r>
    </w:p>
    <w:p w:rsidR="00000000" w:rsidDel="00000000" w:rsidP="00000000" w:rsidRDefault="00000000" w:rsidRPr="00000000" w14:paraId="00000052">
      <w:pPr>
        <w:ind w:firstLine="720"/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Arquitetura</w:t>
      </w:r>
    </w:p>
    <w:p w:rsidR="00000000" w:rsidDel="00000000" w:rsidP="00000000" w:rsidRDefault="00000000" w:rsidRPr="00000000" w14:paraId="00000053">
      <w:pPr>
        <w:ind w:firstLine="72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Padrão: Cliente-Servidor com MVC. O front-end (HTML, CSS, JavaScript) representa a camada View, o back-end em Java com representa o Controller e o banco de dados MySQL representa o Model.</w:t>
      </w:r>
    </w:p>
    <w:p w:rsidR="00000000" w:rsidDel="00000000" w:rsidP="00000000" w:rsidRDefault="00000000" w:rsidRPr="00000000" w14:paraId="00000054">
      <w:pPr>
        <w:ind w:firstLine="720"/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Tecnologias Utilizadas</w:t>
      </w:r>
    </w:p>
    <w:p w:rsidR="00000000" w:rsidDel="00000000" w:rsidP="00000000" w:rsidRDefault="00000000" w:rsidRPr="00000000" w14:paraId="00000055">
      <w:pPr>
        <w:ind w:firstLine="72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Front-End: HTML5, CSS3, JavaScript. Back-End: Java. Banco de Dados: MySQL. Controle de versão: Git/GitHub. Editor: Visual Studio Code e IntelliJ IDEA. Servidor local para testes: Live Server (VS Code).</w:t>
      </w:r>
    </w:p>
    <w:p w:rsidR="00000000" w:rsidDel="00000000" w:rsidP="00000000" w:rsidRDefault="00000000" w:rsidRPr="00000000" w14:paraId="00000056">
      <w:pPr>
        <w:ind w:firstLine="720"/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Requisitos de Hardware</w:t>
      </w:r>
    </w:p>
    <w:p w:rsidR="00000000" w:rsidDel="00000000" w:rsidP="00000000" w:rsidRDefault="00000000" w:rsidRPr="00000000" w14:paraId="00000057">
      <w:pPr>
        <w:ind w:firstLine="72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Para desenvolvimento: computador ou notebook com mínimo de 8 GB de RAM, processador dual-core 2.0 GHz ou superior e conexão com a internet. Para uso do sistema pelo usuário final: qualquer dispositivo com navegador moderno (desktop, tablet ou smartphone).</w:t>
      </w:r>
    </w:p>
    <w:p w:rsidR="00000000" w:rsidDel="00000000" w:rsidP="00000000" w:rsidRDefault="00000000" w:rsidRPr="00000000" w14:paraId="00000058">
      <w:pPr>
        <w:ind w:firstLine="720"/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Requisitos de Software</w:t>
      </w:r>
    </w:p>
    <w:p w:rsidR="00000000" w:rsidDel="00000000" w:rsidP="00000000" w:rsidRDefault="00000000" w:rsidRPr="00000000" w14:paraId="00000059">
      <w:pPr>
        <w:ind w:firstLine="72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Sistema operacional: Windows, macOS ou Linux. Navegador: Google Chrome, Firefox ou Edge (versões atualizadas). Para desenvolvimento: JDK 17+, MySQL 8.0+, Visual Studio Code com extensão Live Server e IntelliJ IDEA.</w:t>
      </w:r>
    </w:p>
    <w:p w:rsidR="00000000" w:rsidDel="00000000" w:rsidP="00000000" w:rsidRDefault="00000000" w:rsidRPr="00000000" w14:paraId="0000005A">
      <w:pPr>
        <w:ind w:firstLine="720"/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Modelagem do Banco de Dados</w:t>
      </w:r>
    </w:p>
    <w:p w:rsidR="00000000" w:rsidDel="00000000" w:rsidP="00000000" w:rsidRDefault="00000000" w:rsidRPr="00000000" w14:paraId="0000005B">
      <w:pPr>
        <w:ind w:firstLine="72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O banco de dados MySQL foi modelado seguindo a 3ª Forma Normal (3FN), garantindo ausência de redundâncias e dependências transitórias. O MER (Modelo Entidade-Relacionamento) foi gerado via dbdiagram.io e está inserido ao final desta seção. As tabelas criadas são: usuario, endereco, conta, chave_pix, transacao, cartao_debito, cartao_credito, fatura, compra_credito, investimento, emprestimo, parcela_emprestimo e notificacao, totalizando 13 tabelas com os relacionamentos adequados via chaves estrangeiras (FOREIGN KEY).</w:t>
      </w:r>
    </w:p>
    <w:p w:rsidR="00000000" w:rsidDel="00000000" w:rsidP="00000000" w:rsidRDefault="00000000" w:rsidRPr="00000000" w14:paraId="0000005C">
      <w:pPr>
        <w:ind w:firstLine="720"/>
        <w:rPr>
          <w:rFonts w:ascii="Tahoma" w:cs="Tahoma" w:eastAsia="Tahoma" w:hAnsi="Tahoma"/>
          <w:color w:val="000000"/>
          <w:sz w:val="20"/>
          <w:szCs w:val="20"/>
        </w:rPr>
      </w:pPr>
      <w:bookmarkStart w:colFirst="0" w:colLast="0" w:name="_h21qi88jsro1" w:id="3"/>
      <w:bookmarkEnd w:id="3"/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  <w:drawing>
          <wp:inline distB="0" distT="0" distL="0" distR="0">
            <wp:extent cx="5400040" cy="503877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tabs>
          <w:tab w:val="left" w:leader="none" w:pos="142"/>
          <w:tab w:val="left" w:leader="none" w:pos="426"/>
        </w:tabs>
        <w:ind w:left="0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ESPECIFICAÇÃO FUNCIONAL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Fonte dos Requisitos</w:t>
      </w:r>
    </w:p>
    <w:p w:rsidR="00000000" w:rsidDel="00000000" w:rsidP="00000000" w:rsidRDefault="00000000" w:rsidRPr="00000000" w14:paraId="00000060">
      <w:pP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Product Owner (PO):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responsável por definir as necessidades principais do sistema, funcionalidades esperadas e prioridades do projeto;</w:t>
        <w:br w:type="textWrapping"/>
      </w:r>
    </w:p>
    <w:p w:rsidR="00000000" w:rsidDel="00000000" w:rsidP="00000000" w:rsidRDefault="00000000" w:rsidRPr="00000000" w14:paraId="00000061">
      <w:pP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Equipe do projeto: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contribuirá com requisitos técnicos e sugestões baseadas nas limitações e possibilidades das tecnologias utilizadas;</w:t>
        <w:br w:type="textWrapping"/>
      </w:r>
    </w:p>
    <w:p w:rsidR="00000000" w:rsidDel="00000000" w:rsidP="00000000" w:rsidRDefault="00000000" w:rsidRPr="00000000" w14:paraId="00000062">
      <w:pP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Benchmarking de mercado: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análise de plataformas como XP Investimentos e C6 Bank, utilizadas como referência para identificar boas práticas de usabilidade, funcionalidades e organização de serviços;</w:t>
        <w:br w:type="textWrapping"/>
      </w:r>
    </w:p>
    <w:p w:rsidR="00000000" w:rsidDel="00000000" w:rsidP="00000000" w:rsidRDefault="00000000" w:rsidRPr="00000000" w14:paraId="00000063">
      <w:pP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Contexto acadêmico: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orientações fornecidas pelo professor e requisitos exigidos pela disciplina;</w:t>
        <w:br w:type="textWrapping"/>
      </w:r>
    </w:p>
    <w:p w:rsidR="00000000" w:rsidDel="00000000" w:rsidP="00000000" w:rsidRDefault="00000000" w:rsidRPr="00000000" w14:paraId="00000064">
      <w:pP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Usuários simulados: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definição de necessidades baseadas em perfis fictícios de usuários, representando cidadãos que utilizariam um banco digital governamental.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Técnicas e instrumentos de coleta de requisitos</w:t>
      </w:r>
    </w:p>
    <w:p w:rsidR="00000000" w:rsidDel="00000000" w:rsidP="00000000" w:rsidRDefault="00000000" w:rsidRPr="00000000" w14:paraId="00000068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Reuniões de levantamento de requisitos: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encontros entre a equipe e o Product Owner para discussão e definição das funcionalidades do sistema;</w:t>
        <w:br w:type="textWrapping"/>
      </w:r>
    </w:p>
    <w:p w:rsidR="00000000" w:rsidDel="00000000" w:rsidP="00000000" w:rsidRDefault="00000000" w:rsidRPr="00000000" w14:paraId="00000069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Prototipação: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criação de protótipos de interface utilizando ferramentas como Figma ou Canva, permitindo visualizar e validar a experiência do usuário antes da implementação;</w:t>
        <w:br w:type="textWrapping"/>
      </w:r>
    </w:p>
    <w:p w:rsidR="00000000" w:rsidDel="00000000" w:rsidP="00000000" w:rsidRDefault="00000000" w:rsidRPr="00000000" w14:paraId="0000006A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Benchmarking: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análise de sistemas existentes (como XP Investimentos e C6 Bank) para identificar padrões de mercado e boas práticas;</w:t>
        <w:br w:type="textWrapping"/>
      </w:r>
    </w:p>
    <w:p w:rsidR="00000000" w:rsidDel="00000000" w:rsidP="00000000" w:rsidRDefault="00000000" w:rsidRPr="00000000" w14:paraId="0000006B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User Stories: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descrição das funcionalidades sob a perspectiva do usuário, facilitando o entendimento e a organização das tarefas;</w:t>
        <w:br w:type="textWrapping"/>
      </w:r>
    </w:p>
    <w:p w:rsidR="00000000" w:rsidDel="00000000" w:rsidP="00000000" w:rsidRDefault="00000000" w:rsidRPr="00000000" w14:paraId="0000006C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Diagramas simples: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utilização de diagramas (como fluxogramas e diagramas de navegação) para representar o funcionamento do sistema e a interação entre suas partes;</w:t>
        <w:br w:type="textWrapping"/>
      </w:r>
    </w:p>
    <w:p w:rsidR="00000000" w:rsidDel="00000000" w:rsidP="00000000" w:rsidRDefault="00000000" w:rsidRPr="00000000" w14:paraId="0000006D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Documentação contínua: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registro das decisões, requisitos e alterações ao longo do desenvolvimento do projeto.</w:t>
      </w:r>
    </w:p>
    <w:p w:rsidR="00000000" w:rsidDel="00000000" w:rsidP="00000000" w:rsidRDefault="00000000" w:rsidRPr="00000000" w14:paraId="0000006E">
      <w:pP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2060"/>
          <w:rtl w:val="0"/>
        </w:rPr>
        <w:t xml:space="preserve">Controle de versionamento (Git):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 utilizado para registrar mudanças nos requisitos e manter histórico das evoluções do projeto.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Requisitos Funcionais do Sistema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RF01 – Cadastro de usuário: o sistema deve permitir que novos usuários se cadastrem informando nome completo, CPF, data de nascimento, e-mail, celular e senha. O CPF deve ser validado quanto ao formato e unicidade. O usuário deve ter 18 anos ou mais.</w:t>
      </w:r>
    </w:p>
    <w:p w:rsidR="00000000" w:rsidDel="00000000" w:rsidP="00000000" w:rsidRDefault="00000000" w:rsidRPr="00000000" w14:paraId="00000072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RF02 – Login: o sistema deve autenticar o usuário por CPF e senha. Em caso de dados inválidos, exibir mensagem de erro sem indicar qual campo está incorreto.</w:t>
      </w:r>
    </w:p>
    <w:p w:rsidR="00000000" w:rsidDel="00000000" w:rsidP="00000000" w:rsidRDefault="00000000" w:rsidRPr="00000000" w14:paraId="00000073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RF03 – Recuperação de senha: o sistema deve permitir a redefinição de senha por meio de um fluxo em 3 etapas: informação do CPF, validação de código de 6 dígitos e criação de nova senha. No futuro.</w:t>
      </w:r>
    </w:p>
    <w:p w:rsidR="00000000" w:rsidDel="00000000" w:rsidP="00000000" w:rsidRDefault="00000000" w:rsidRPr="00000000" w14:paraId="00000074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RF04 – Painel do usuário: após login, o usuário deve visualizar saldo, extrato de transações, cartões ativos, investimentos e empréstimos. No futuro.</w:t>
      </w:r>
    </w:p>
    <w:p w:rsidR="00000000" w:rsidDel="00000000" w:rsidP="00000000" w:rsidRDefault="00000000" w:rsidRPr="00000000" w14:paraId="00000075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RF05 – Transações: o sistema deve registrar e exibir transações do tipo Pix, TED, DOC, saque e depósito, com data, valor, descrição e status. No futuro.</w:t>
      </w:r>
    </w:p>
    <w:p w:rsidR="00000000" w:rsidDel="00000000" w:rsidP="00000000" w:rsidRDefault="00000000" w:rsidRPr="00000000" w14:paraId="00000076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RF06 – Cartões: o sistema deve exibir os cartões de débito e crédito do usuário, com limite, validade e últimas compras. O cartão de crédito deve exibir a fatura atual. No futuro.</w:t>
      </w:r>
    </w:p>
    <w:p w:rsidR="00000000" w:rsidDel="00000000" w:rsidP="00000000" w:rsidRDefault="00000000" w:rsidRPr="00000000" w14:paraId="00000077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RF07 – Investimentos: o sistema deve exibir os investimentos do usuário (CDB, Tesouro Direto, Renda Variável, FIIs) com valor aplicado, valor atual e rentabilidade. No futuro.</w:t>
      </w:r>
    </w:p>
    <w:p w:rsidR="00000000" w:rsidDel="00000000" w:rsidP="00000000" w:rsidRDefault="00000000" w:rsidRPr="00000000" w14:paraId="00000078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RF08 – Empréstimos: o sistema deve exibir os empréstimos ativos do usuário, com valor, taxa de juros, número de parcelas e progresso de pagamento. No futuro.</w:t>
      </w:r>
    </w:p>
    <w:p w:rsidR="00000000" w:rsidDel="00000000" w:rsidP="00000000" w:rsidRDefault="00000000" w:rsidRPr="00000000" w14:paraId="00000079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RF09 – Perfil do usuário: o sistema deve exibir os dados cadastrais do usuário e permitir a alteração de senha. No futuro.</w:t>
      </w:r>
    </w:p>
    <w:p w:rsidR="00000000" w:rsidDel="00000000" w:rsidP="00000000" w:rsidRDefault="00000000" w:rsidRPr="00000000" w14:paraId="0000007A">
      <w:pPr>
        <w:ind w:left="360" w:firstLine="36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RF10 – Site institucional: o sistema deve apresentar páginas públicas de Produtos, Tarifas, Imprensa, Privacidade e Termos de Uso, acessíveis sem login.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Requisitos Não Funcionais do Sistema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24" w:hanging="504.00000000000006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Requisitos de Projeto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O SennaBank será entregue ao cliente simulado (Governo do Brasil) ao final do semestre letivo de 2026.1. O projeto não terá custos financeiros diretos, sendo desenvolvido com ferramentas gratuitas. Não está previsto suporte pós-entrega no contexto acadêmico. Futuras versões poderão incluir integração real com sistemas bancários, autenticação bométrica e aplicação mobile.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24" w:hanging="504.00000000000006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Requisitos de Processo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O desenvolvimento será realizado em 3 fases: (1) Front-End em HTML, CSS e JavaScript com design responsivo e acessível; (2) Banco de Dados MySQL com 13 tabelas normalizadas; (3) Back-End em Java integrando front-end e banco de dados no futuro, mas por agora apenas com banco de dados. A equipe utilizará Git/GitHub para controle de versão e Visual Studio Code como editor principal do Front-End e IntelliJ IDEA do Back-End. Reuniões semanais serão realizadas para alinhamento e revisão do progresso.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24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24" w:hanging="504.00000000000006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Requisitos de Interface Gráfica com Usuário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O sistema adota identidade visual inspirada no piloto Ayrton Senna e na bandeira do Brasil. Cores principais: preto (#000000) como fundo, verde claro (rgb(62, 209, 62)) como cor de destaque, cinza escuro (rgb(27,27,27)) para cards e containers, e branco para textos. A fonte utilizada é Arial/Helvetica Sans-Serif. O logo é composto por três faixas verticais (verde, amarelo e azul) ao lado da marca SENNA BANK. O layout é totalmente responsivo com breakpoints para tablet (1024px) e mobile (768px). O header é fixo (sticky) com backdrop-filter blur para transparência. Todos os elementos interativos possuem estados de hover e transições suaves de 0.3s.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24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Prototipação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O protótipo foi desenvolvido diretamente em HTML, CSS e JavaScript (prototipação funcional). As páginas implementadas são: Início (index.html), Produtos (produtos.html), Imprensa (imprensa.html), Privacidade (privacidade.html), Termos (termos.html), Tarifas (tarifas.html) e Esqueci Senha (esqueci-senha.html). O header com drawers de login e cadastro é compartilhado entre todas as páginas via carregamento dinâmico por JavaScript (fetch).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36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Index.html: </w:t>
      </w:r>
      <w:r w:rsidDel="00000000" w:rsidR="00000000" w:rsidRPr="00000000">
        <w:rPr/>
        <w:drawing>
          <wp:inline distB="0" distT="0" distL="114300" distR="114300">
            <wp:extent cx="5400675" cy="265747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/>
        <w:drawing>
          <wp:inline distB="0" distT="0" distL="114300" distR="114300">
            <wp:extent cx="5400675" cy="23907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Produtos.html: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/>
        <w:drawing>
          <wp:inline distB="0" distT="0" distL="114300" distR="114300">
            <wp:extent cx="5400675" cy="23145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/>
        <w:drawing>
          <wp:inline distB="0" distT="0" distL="114300" distR="114300">
            <wp:extent cx="5400675" cy="23907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/>
        <w:drawing>
          <wp:inline distB="0" distT="0" distL="114300" distR="114300">
            <wp:extent cx="5400675" cy="23812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/>
        <w:drawing>
          <wp:inline distB="0" distT="0" distL="114300" distR="114300">
            <wp:extent cx="5400675" cy="21431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Imprensa.html:</w:t>
      </w:r>
      <w:r w:rsidDel="00000000" w:rsidR="00000000" w:rsidRPr="00000000">
        <w:rPr/>
        <w:drawing>
          <wp:inline distB="0" distT="0" distL="114300" distR="114300">
            <wp:extent cx="5400675" cy="19335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/>
        <w:drawing>
          <wp:inline distB="0" distT="0" distL="114300" distR="114300">
            <wp:extent cx="5400675" cy="21812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/>
      </w:pPr>
      <w:r w:rsidDel="00000000" w:rsidR="00000000" w:rsidRPr="00000000">
        <w:rPr/>
        <w:drawing>
          <wp:inline distB="0" distT="0" distL="114300" distR="114300">
            <wp:extent cx="5400675" cy="170497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Privacidade.html:</w:t>
      </w:r>
      <w:r w:rsidDel="00000000" w:rsidR="00000000" w:rsidRPr="00000000">
        <w:rPr/>
        <w:drawing>
          <wp:inline distB="0" distT="0" distL="114300" distR="114300">
            <wp:extent cx="5400040" cy="280098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81114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81241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527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/>
        <w:drawing>
          <wp:inline distB="0" distT="0" distL="114300" distR="114300">
            <wp:extent cx="5400040" cy="281686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Termos.html:</w:t>
      </w:r>
      <w:r w:rsidDel="00000000" w:rsidR="00000000" w:rsidRPr="00000000">
        <w:rPr/>
        <w:drawing>
          <wp:inline distB="0" distT="0" distL="114300" distR="114300">
            <wp:extent cx="5400040" cy="280416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654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654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654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082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/>
        <w:drawing>
          <wp:inline distB="0" distT="0" distL="114300" distR="114300">
            <wp:extent cx="5400040" cy="279273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Tarifas.html: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8098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40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971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279781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/>
        <w:drawing>
          <wp:inline distB="0" distT="0" distL="114300" distR="114300">
            <wp:extent cx="5400040" cy="28035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esqueci–senha.html: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color w:val="000000"/>
        </w:rPr>
      </w:pPr>
      <w:r w:rsidDel="00000000" w:rsidR="00000000" w:rsidRPr="00000000">
        <w:rPr/>
        <w:drawing>
          <wp:inline distB="0" distT="0" distL="114300" distR="114300">
            <wp:extent cx="5400040" cy="279654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firstLine="0"/>
        <w:rPr>
          <w:rFonts w:ascii="Tahoma" w:cs="Tahoma" w:eastAsia="Tahoma" w:hAnsi="Tahoma"/>
          <w:i w:val="1"/>
          <w:iCs w:val="1"/>
          <w:color w:val="00206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color w:val="002060"/>
          <w:rtl w:val="0"/>
        </w:rPr>
        <w:t xml:space="preserve">- Dralwer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/>
        <w:drawing>
          <wp:inline distB="0" distT="0" distL="114300" distR="114300">
            <wp:extent cx="1616115" cy="3387021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6115" cy="3387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622340" cy="3407206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340" cy="3407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638106" cy="341369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106" cy="3413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637380" cy="3419306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380" cy="3419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TIC: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37276" cy="3015103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76" cy="3015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1"/>
        </w:numPr>
        <w:tabs>
          <w:tab w:val="left" w:leader="none" w:pos="142"/>
          <w:tab w:val="left" w:leader="none" w:pos="426"/>
        </w:tabs>
        <w:ind w:left="0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bhhnwd25nbm5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GLOSSÁRIO</w:t>
      </w:r>
    </w:p>
    <w:p w:rsidR="00000000" w:rsidDel="00000000" w:rsidP="00000000" w:rsidRDefault="00000000" w:rsidRPr="00000000" w14:paraId="000000B9">
      <w:pPr>
        <w:ind w:firstLine="720"/>
        <w:rPr>
          <w:i w:val="1"/>
          <w:iCs w:val="1"/>
          <w:color w:val="002060"/>
        </w:rPr>
      </w:pPr>
      <w:r w:rsidDel="00000000" w:rsidR="00000000" w:rsidRPr="00000000">
        <w:rPr>
          <w:i w:val="1"/>
          <w:iCs w:val="1"/>
          <w:color w:val="002060"/>
          <w:rtl w:val="0"/>
        </w:rPr>
        <w:t xml:space="preserve">Front-End: parte visual do sistema acessada pelo usuário no navegador. Back-End: parte do sistema que processa regras de negócio e acessa o banco de dados. MVC: padrão de arquitetura Model-View-Controller. API: interface de comunicação entre front-end e back-end. JWT: JSON Web Token, mecanismo de autenticação stateless. Pix: sistema de pagamento instantâneo do Banco Central do Brasil. TED: Transferência Eletrônica Disponível. CDI: Certificado de Depósito Interbancário, índice de referência para investimentos. FII: Fundo de Investimento Imobiliário. BCrypt: algoritmo de hash para armazenamento seguro de senhas. Responsive Design: design que se adapta a diferentes tamanhos de tela. Drawer: painel lateral deslizante de UI. MER: Modelo Entidade-Relacionamento, diagrama visual do banco de dados.</w:t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1"/>
        </w:numPr>
        <w:tabs>
          <w:tab w:val="left" w:leader="none" w:pos="142"/>
          <w:tab w:val="left" w:leader="none" w:pos="426"/>
        </w:tabs>
        <w:ind w:left="0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3oa74wyuwicy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BB">
      <w:pPr>
        <w:ind w:firstLine="720"/>
        <w:rPr>
          <w:i w:val="1"/>
          <w:iCs w:val="1"/>
          <w:color w:val="002060"/>
        </w:rPr>
      </w:pPr>
      <w:r w:rsidDel="00000000" w:rsidR="00000000" w:rsidRPr="00000000">
        <w:rPr>
          <w:i w:val="1"/>
          <w:iCs w:val="1"/>
          <w:color w:val="002060"/>
          <w:rtl w:val="0"/>
        </w:rPr>
        <w:t xml:space="preserve">O SennaBank é um projeto acadêmico desenvolvido na disciplina de Engenharia de Software do curso de Análise e Desenvolvimento de Sistemas da UNISENAI – Campus São Caetano do Sul. Todo o código está disponível no repositório Git da equipe. O sistema não possui integração com sistemas bancários reais e todos os dados apresentados são simulados para fins didáticos. O nome e identidade visual fazem referência ao piloto Ayrton Senna como homenagem ao atleta brasileiro, sem fins comerciais.</w:t>
      </w:r>
    </w:p>
    <w:sectPr>
      <w:type w:val="continuous"/>
      <w:pgSz w:h="16838" w:w="11906" w:orient="portrait"/>
      <w:pgMar w:bottom="1417" w:top="1417" w:left="1701" w:right="1701" w:header="641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Tahoma">
    <w:embedRegular w:fontKey="{00000000-0000-0000-0000-000000000000}" r:id="rId3" w:subsetted="0"/>
    <w:embedBold w:fontKey="{00000000-0000-0000-0000-000000000000}" r:id="rId4" w:subsetted="0"/>
  </w:font>
  <w:font w:name="System Fon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color w:val="000000"/>
        <w:sz w:val="28"/>
        <w:szCs w:val="28"/>
        <w:rtl w:val="0"/>
      </w:rPr>
      <w:t xml:space="preserve">Projeto da UC Engenharia de Software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-509522</wp:posOffset>
              </wp:positionH>
              <wp:positionV relativeFrom="paragraph">
                <wp:posOffset>95654</wp:posOffset>
              </wp:positionV>
              <wp:extent cx="1573963" cy="35756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8544" y="3610743"/>
                        <a:ext cx="1554913" cy="338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Campus São Caetano do Sul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Boa Vista – 1.23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-509522</wp:posOffset>
              </wp:positionH>
              <wp:positionV relativeFrom="paragraph">
                <wp:posOffset>95654</wp:posOffset>
              </wp:positionV>
              <wp:extent cx="1573963" cy="357564"/>
              <wp:effectExtent b="0" l="0" r="0" t="0"/>
              <wp:wrapNone/>
              <wp:docPr id="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963" cy="3575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-381631</wp:posOffset>
          </wp:positionH>
          <wp:positionV relativeFrom="paragraph">
            <wp:posOffset>-230501</wp:posOffset>
          </wp:positionV>
          <wp:extent cx="1400175" cy="386715"/>
          <wp:effectExtent b="0" l="0" r="0" t="0"/>
          <wp:wrapNone/>
          <wp:docPr descr="Placa vermelha com letras brancas em fundo preto  O conteúdo gerado por IA pode estar incorreto." id="3" name="image7.png"/>
          <a:graphic>
            <a:graphicData uri="http://schemas.openxmlformats.org/drawingml/2006/picture">
              <pic:pic>
                <pic:nvPicPr>
                  <pic:cNvPr descr="Placa vermelha com letras brancas em fundo preto  O conteúdo gerado por IA pode estar incorreto.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Tahoma" w:cs="Tahoma" w:eastAsia="Tahoma" w:hAnsi="Tahoma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-1346197</wp:posOffset>
              </wp:positionH>
              <wp:positionV relativeFrom="paragraph">
                <wp:posOffset>228600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C00000"/>
                        </a:solidFill>
                        <a:prstDash val="lgDash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-1346197</wp:posOffset>
              </wp:positionH>
              <wp:positionV relativeFrom="paragraph">
                <wp:posOffset>228600</wp:posOffset>
              </wp:positionV>
              <wp:extent cx="12700" cy="12700"/>
              <wp:effectExtent b="0" l="0" r="0" t="0"/>
              <wp:wrapNone/>
              <wp:docPr id="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color w:val="bf4f1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ae2d6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bf4f1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ae2d6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31.png"/><Relationship Id="rId24" Type="http://schemas.openxmlformats.org/officeDocument/2006/relationships/image" Target="media/image24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2.png"/><Relationship Id="rId25" Type="http://schemas.openxmlformats.org/officeDocument/2006/relationships/image" Target="media/image33.png"/><Relationship Id="rId28" Type="http://schemas.openxmlformats.org/officeDocument/2006/relationships/image" Target="media/image1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30.png"/><Relationship Id="rId7" Type="http://schemas.openxmlformats.org/officeDocument/2006/relationships/image" Target="media/image25.png"/><Relationship Id="rId8" Type="http://schemas.openxmlformats.org/officeDocument/2006/relationships/image" Target="media/image15.png"/><Relationship Id="rId31" Type="http://schemas.openxmlformats.org/officeDocument/2006/relationships/image" Target="media/image9.png"/><Relationship Id="rId30" Type="http://schemas.openxmlformats.org/officeDocument/2006/relationships/image" Target="media/image4.png"/><Relationship Id="rId11" Type="http://schemas.openxmlformats.org/officeDocument/2006/relationships/image" Target="media/image14.png"/><Relationship Id="rId33" Type="http://schemas.openxmlformats.org/officeDocument/2006/relationships/image" Target="media/image2.png"/><Relationship Id="rId10" Type="http://schemas.openxmlformats.org/officeDocument/2006/relationships/image" Target="media/image11.png"/><Relationship Id="rId32" Type="http://schemas.openxmlformats.org/officeDocument/2006/relationships/image" Target="media/image1.png"/><Relationship Id="rId13" Type="http://schemas.openxmlformats.org/officeDocument/2006/relationships/image" Target="media/image6.png"/><Relationship Id="rId35" Type="http://schemas.openxmlformats.org/officeDocument/2006/relationships/image" Target="media/image26.png"/><Relationship Id="rId12" Type="http://schemas.openxmlformats.org/officeDocument/2006/relationships/image" Target="media/image10.png"/><Relationship Id="rId34" Type="http://schemas.openxmlformats.org/officeDocument/2006/relationships/image" Target="media/image27.png"/><Relationship Id="rId15" Type="http://schemas.openxmlformats.org/officeDocument/2006/relationships/image" Target="media/image20.png"/><Relationship Id="rId37" Type="http://schemas.openxmlformats.org/officeDocument/2006/relationships/image" Target="media/image8.png"/><Relationship Id="rId14" Type="http://schemas.openxmlformats.org/officeDocument/2006/relationships/image" Target="media/image21.png"/><Relationship Id="rId36" Type="http://schemas.openxmlformats.org/officeDocument/2006/relationships/image" Target="media/image3.png"/><Relationship Id="rId17" Type="http://schemas.openxmlformats.org/officeDocument/2006/relationships/image" Target="media/image18.png"/><Relationship Id="rId16" Type="http://schemas.openxmlformats.org/officeDocument/2006/relationships/image" Target="media/image23.png"/><Relationship Id="rId38" Type="http://schemas.openxmlformats.org/officeDocument/2006/relationships/image" Target="media/image22.png"/><Relationship Id="rId19" Type="http://schemas.openxmlformats.org/officeDocument/2006/relationships/image" Target="media/image29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Tahoma-regular.ttf"/><Relationship Id="rId4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