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ascii="Arial" w:hAnsi="Arial" w:cs="Arial"/>
          <w:b/>
          <w:bCs/>
          <w:sz w:val="48"/>
          <w:szCs w:val="48"/>
        </w:rPr>
      </w:pPr>
    </w:p>
    <w:p>
      <w:pPr>
        <w:jc w:val="center"/>
        <w:rPr>
          <w:rFonts w:ascii="Arial" w:hAnsi="Arial" w:cs="Arial"/>
          <w:b/>
          <w:bCs/>
          <w:color w:val="C00000"/>
        </w:rPr>
      </w:pPr>
      <w:r>
        <w:rPr>
          <w:rFonts w:ascii="Arial" w:hAnsi="Arial" w:cs="Arial"/>
          <w:b/>
          <w:bCs/>
          <w:color w:val="C00000"/>
          <w:sz w:val="48"/>
          <w:szCs w:val="48"/>
          <w:highlight w:val="yellow"/>
        </w:rPr>
        <w:t>ATENÇÃO</w:t>
      </w:r>
      <w:r>
        <w:rPr>
          <w:rFonts w:ascii="Arial" w:hAnsi="Arial" w:cs="Arial"/>
          <w:b/>
          <w:bCs/>
          <w:color w:val="C00000"/>
          <w:highlight w:val="yellow"/>
        </w:rPr>
        <w:t>:</w:t>
      </w:r>
    </w:p>
    <w:p>
      <w:pPr>
        <w:jc w:val="center"/>
        <w:rPr>
          <w:b/>
          <w:bCs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No meio acadêmico o plágio configura se pelo ato de assinar ou apresentar como seu o resultado produzido por outra pessoa ou grupo, ou seja, copiar o trabalho alheio.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Além de uma conduta imoral e antiética, plágio pode ser qualificado como crime de violação de direito autoral no Brasil, com repercussões negativas em sua carreira acadêmica e profissional.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 as atitudes consideradas como plágio no meio acadêmico estão: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entregar um trabalho acadêmico que contenha cópia parcial ou total de trabalho entregue por outra pessoa ou equipe;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usar as ideias de outra pessoa sem indicar a autoria;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utilizar o texto de outra pessoa, alterando algumas das palavras, ou a ordem das palavras, sem a devida citação da fonte;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usar as ideias de outra pessoa, sem referência ao autor; 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recortar e colar da Internet conteúdo sem a devida citação da fonte.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Atividades classificadas como plágio receberão, a critério do professor, </w:t>
      </w:r>
      <w:r>
        <w:rPr>
          <w:rFonts w:ascii="Arial" w:hAnsi="Arial" w:cs="Arial"/>
          <w:b/>
          <w:bCs/>
          <w:sz w:val="22"/>
          <w:szCs w:val="22"/>
          <w:u w:val="single"/>
        </w:rPr>
        <w:t>NOTA ZERO</w:t>
      </w:r>
      <w:r>
        <w:rPr>
          <w:rFonts w:ascii="Arial" w:hAnsi="Arial" w:cs="Arial"/>
          <w:sz w:val="22"/>
          <w:szCs w:val="22"/>
        </w:rPr>
        <w:t xml:space="preserve">, independente da autoria.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Portanto, tenha isso em mente antes de compartilhar sua atividade ou realizar cópia, mesmo que parcial, de atividade desenvolvida por algum colega.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right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BOM TRABALHO A TODOS!</w:t>
      </w: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Forneça o(s) nome(s) do(s) responsável (eis) pelo desenvolvimento desta avaliação: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 w:cs="Times New Roman"/>
          <w:b/>
          <w:bCs/>
          <w:color w:val="C00000"/>
          <w:lang w:val="pt-BR"/>
        </w:rPr>
        <w:t xml:space="preserve"> </w:t>
      </w:r>
      <w:r>
        <w:rPr>
          <w:rFonts w:hint="default" w:ascii="Arial" w:hAnsi="Arial" w:eastAsia="Times New Roman"/>
          <w:b/>
          <w:bCs/>
          <w:color w:val="C00000"/>
        </w:rPr>
        <w:t>Gean Lucas Teco Pfefer</w:t>
      </w:r>
      <w:r>
        <w:rPr>
          <w:rFonts w:hint="default" w:ascii="Arial" w:hAnsi="Arial" w:eastAsia="Times New Roman"/>
          <w:b/>
          <w:bCs/>
          <w:color w:val="C00000"/>
          <w:lang w:val="pt-BR"/>
        </w:rPr>
        <w:t xml:space="preserve"> - RM88138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hint="default" w:ascii="Arial" w:hAnsi="Arial" w:eastAsia="Times New Roman" w:cs="Times New Roman"/>
          <w:b/>
          <w:bCs/>
          <w:color w:val="C00000"/>
          <w:lang w:val="pt-BR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 w:cs="Times New Roman"/>
          <w:b/>
          <w:bCs/>
          <w:color w:val="C00000"/>
          <w:lang w:val="pt-BR"/>
        </w:rPr>
        <w:t xml:space="preserve"> Matheus Cavalcanti Rebola - RM81030</w:t>
      </w: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jc w:val="center"/>
        <w:rPr>
          <w:rFonts w:ascii="Arial" w:hAnsi="Arial" w:eastAsia="Times New Roman" w:cs="Times New Roman"/>
          <w:b/>
          <w:bCs/>
          <w:sz w:val="22"/>
          <w:szCs w:val="22"/>
        </w:rPr>
      </w:pP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Preencha esse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template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e, ao final, faça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upload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 de um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  <w:highlight w:val="yellow"/>
        </w:rPr>
        <w:t>arquivo no formato PDF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b/>
          <w:bCs/>
          <w:sz w:val="22"/>
          <w:szCs w:val="22"/>
        </w:rPr>
        <w:t>na área de trabalhos da disciplina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spacing w:line="360" w:lineRule="auto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 atua na área de Ias Generativas aplicadas no contexto dos Objetivos de Desenvolvimento Sustentável (ODS) da ONU.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Para resolução desta avaliação considere que você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  <w:r>
        <w:rPr>
          <w:rFonts w:ascii="Arial" w:hAnsi="Arial" w:eastAsia="Times New Roman" w:cs="Times New Roman"/>
          <w:sz w:val="20"/>
          <w:szCs w:val="20"/>
        </w:rPr>
        <w:t xml:space="preserve">acaba de ser contratado pela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para propor configurações para a </w:t>
      </w:r>
      <w:r>
        <w:rPr>
          <w:rFonts w:ascii="Arial" w:hAnsi="Arial" w:eastAsia="Times New Roman" w:cs="Times New Roman"/>
          <w:b/>
          <w:i/>
          <w:iCs/>
          <w:sz w:val="20"/>
          <w:szCs w:val="20"/>
        </w:rPr>
        <w:t>Rede Local de Comunicação de Dados (LAN)</w:t>
      </w:r>
      <w:r>
        <w:rPr>
          <w:rFonts w:ascii="Arial" w:hAnsi="Arial" w:eastAsia="Times New Roman" w:cs="Times New Roman"/>
          <w:sz w:val="20"/>
          <w:szCs w:val="20"/>
        </w:rPr>
        <w:t xml:space="preserve"> existente e em funcionamento na empresa, visando, sobretudo, melhoria dos aspectos de </w:t>
      </w:r>
      <w:r>
        <w:rPr>
          <w:rFonts w:ascii="Arial" w:hAnsi="Arial" w:eastAsia="Times New Roman" w:cs="Times New Roman"/>
          <w:b/>
          <w:sz w:val="20"/>
          <w:szCs w:val="20"/>
        </w:rPr>
        <w:t>segurança</w:t>
      </w:r>
      <w:r>
        <w:rPr>
          <w:rFonts w:ascii="Arial" w:hAnsi="Arial" w:eastAsia="Times New Roman" w:cs="Times New Roman"/>
          <w:sz w:val="20"/>
          <w:szCs w:val="20"/>
        </w:rPr>
        <w:t xml:space="preserve"> e </w:t>
      </w:r>
      <w:r>
        <w:rPr>
          <w:rFonts w:ascii="Arial" w:hAnsi="Arial" w:eastAsia="Times New Roman" w:cs="Times New Roman"/>
          <w:b/>
          <w:sz w:val="20"/>
          <w:szCs w:val="20"/>
        </w:rPr>
        <w:t>desempenho</w:t>
      </w:r>
      <w:r>
        <w:rPr>
          <w:rFonts w:ascii="Arial" w:hAnsi="Arial" w:eastAsia="Times New Roman" w:cs="Times New Roman"/>
          <w:sz w:val="20"/>
          <w:szCs w:val="20"/>
        </w:rPr>
        <w:t xml:space="preserve">. 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”,</w:t>
      </w:r>
      <w:r>
        <w:rPr>
          <w:rFonts w:ascii="Arial" w:hAnsi="Arial" w:eastAsia="Times New Roman" w:cs="Times New Roman"/>
          <w:sz w:val="20"/>
          <w:szCs w:val="20"/>
        </w:rPr>
        <w:t xml:space="preserve"> com um modelo de governança moderno e audacioso, apresenta uma estrutura de decisão revolucionária, com 6 áreas autônomas (sendo 1 diretoria e 5 setores) com igual poder de decisão. Essa estrutura de decisão revolucionária é apresentada a seguir: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5991225" cy="2238375"/>
            <wp:effectExtent l="0" t="0" r="0" b="47625"/>
            <wp:docPr id="15" name="Diagrama 1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>
      <w:pPr>
        <w:jc w:val="center"/>
        <w:rPr>
          <w:rFonts w:ascii="Arial" w:hAnsi="Arial" w:eastAsia="Times New Roman" w:cs="Times New Roman"/>
          <w:b/>
          <w:i/>
          <w:sz w:val="20"/>
          <w:szCs w:val="20"/>
          <w:u w:val="single"/>
        </w:rPr>
      </w:pPr>
      <w:r>
        <w:rPr>
          <w:rFonts w:ascii="Arial" w:hAnsi="Arial" w:eastAsia="Times New Roman" w:cs="Times New Roman"/>
          <w:b/>
          <w:sz w:val="20"/>
          <w:szCs w:val="20"/>
        </w:rPr>
        <w:t>Figura 1:</w:t>
      </w:r>
      <w:r>
        <w:rPr>
          <w:rFonts w:ascii="Arial" w:hAnsi="Arial" w:eastAsia="Times New Roman" w:cs="Times New Roman"/>
          <w:sz w:val="20"/>
          <w:szCs w:val="20"/>
        </w:rPr>
        <w:t xml:space="preserve"> Estrutura de Decisão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topologia da LAN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, modelada no simulador </w:t>
      </w:r>
      <w:r>
        <w:rPr>
          <w:rFonts w:ascii="Courier New" w:hAnsi="Courier New" w:eastAsia="Times New Roman" w:cs="Courier New"/>
          <w:b/>
          <w:sz w:val="20"/>
          <w:szCs w:val="20"/>
          <w:u w:val="single"/>
        </w:rPr>
        <w:t>CISCO Packet Tracer</w:t>
      </w:r>
      <w:r>
        <w:rPr>
          <w:rFonts w:ascii="Courier New" w:hAnsi="Courier New" w:eastAsia="Times New Roman" w:cs="Courier New"/>
          <w:sz w:val="20"/>
          <w:szCs w:val="20"/>
          <w:u w:val="single"/>
        </w:rPr>
        <w:t>,</w:t>
      </w:r>
      <w:r>
        <w:rPr>
          <w:rFonts w:ascii="Arial" w:hAnsi="Arial" w:eastAsia="Times New Roman" w:cs="Times New Roman"/>
          <w:sz w:val="20"/>
          <w:szCs w:val="20"/>
        </w:rPr>
        <w:t xml:space="preserve"> é apresentada na figura 2.</w:t>
      </w:r>
    </w:p>
    <w:p>
      <w:pPr>
        <w:spacing w:after="120" w:line="360" w:lineRule="auto"/>
        <w:rPr>
          <w:rFonts w:ascii="Times New Roman" w:hAnsi="Times New Roman" w:eastAsia="Times New Roman" w:cs="Times New Roman"/>
          <w:color w:val="000000"/>
          <w:w w:val="0"/>
          <w:sz w:val="0"/>
          <w:szCs w:val="0"/>
          <w:u w:color="000000"/>
          <w:shd w:val="clear" w:color="000000" w:fill="000000"/>
          <w:lang w:eastAsia="pt-BR"/>
        </w:rPr>
      </w:pPr>
      <w:r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6031230" cy="2620010"/>
            <wp:effectExtent l="19050" t="19050" r="26670" b="27940"/>
            <wp:docPr id="19" name="Imagem 19" descr="\\nuvd01_home.usuarios.usp.br\NUV_D01_HOME_USER$\3039753\Downloads\image (4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\\nuvd01_home.usuarios.usp.br\NUV_D01_HOME_USER$\3039753\Downloads\image (47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6201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Figura 2:</w:t>
      </w:r>
      <w:r>
        <w:rPr>
          <w:rFonts w:ascii="Arial" w:hAnsi="Arial" w:eastAsia="Times New Roman" w:cs="Arial"/>
          <w:sz w:val="20"/>
          <w:szCs w:val="20"/>
        </w:rPr>
        <w:t xml:space="preserve"> Topologia representando a conexão da rede local (LAN) da </w:t>
      </w:r>
      <w:r>
        <w:rPr>
          <w:rFonts w:ascii="Arial" w:hAnsi="Arial" w:eastAsia="Times New Roman" w:cs="Arial"/>
          <w:b/>
          <w:i/>
          <w:sz w:val="20"/>
          <w:szCs w:val="20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Arial"/>
          <w:b/>
          <w:i/>
          <w:sz w:val="20"/>
          <w:szCs w:val="20"/>
        </w:rPr>
        <w:t>”</w:t>
      </w:r>
      <w:r>
        <w:rPr>
          <w:rFonts w:ascii="Arial" w:hAnsi="Arial" w:eastAsia="Times New Roman" w:cs="Arial"/>
          <w:sz w:val="20"/>
          <w:szCs w:val="20"/>
        </w:rPr>
        <w:t xml:space="preserve"> à Internet.</w:t>
      </w: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Times New Roman"/>
          <w:b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color w:val="C00000"/>
          <w:sz w:val="20"/>
          <w:szCs w:val="20"/>
        </w:rPr>
        <w:t>Informações complementares: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foram configurados para receber endereçamento IP via DHCP (</w:t>
      </w:r>
      <w:r>
        <w:rPr>
          <w:rFonts w:ascii="Arial" w:hAnsi="Arial" w:eastAsia="Times New Roman" w:cs="Times New Roman"/>
          <w:i/>
          <w:sz w:val="20"/>
          <w:szCs w:val="20"/>
        </w:rPr>
        <w:t>Dynamic Host Configuration Protocol</w:t>
      </w:r>
      <w:r>
        <w:rPr>
          <w:rFonts w:ascii="Arial" w:hAnsi="Arial" w:eastAsia="Times New Roman" w:cs="Times New Roman"/>
          <w:sz w:val="20"/>
          <w:szCs w:val="20"/>
        </w:rPr>
        <w:t xml:space="preserve">) onde houver configurado o serviço DHCP; 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onde não houver configurado o serviço DHCP foram realizadas configurações estáticas nos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para endereçamento IP.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1 estão configurados os serviços DHCP (</w:t>
      </w:r>
      <w:r>
        <w:rPr>
          <w:rFonts w:ascii="Courier New" w:hAnsi="Courier New" w:eastAsia="Times New Roman" w:cs="Courier New"/>
          <w:sz w:val="20"/>
          <w:szCs w:val="20"/>
        </w:rPr>
        <w:t>porta UDP 67</w:t>
      </w:r>
      <w:r>
        <w:rPr>
          <w:rFonts w:ascii="Arial" w:hAnsi="Arial" w:eastAsia="Times New Roman" w:cs="Times New Roman"/>
          <w:sz w:val="20"/>
          <w:szCs w:val="20"/>
        </w:rPr>
        <w:t>) e HTTP (</w:t>
      </w:r>
      <w:r>
        <w:rPr>
          <w:rFonts w:ascii="Courier New" w:hAnsi="Courier New" w:eastAsia="Times New Roman" w:cs="Courier New"/>
          <w:sz w:val="20"/>
          <w:szCs w:val="20"/>
        </w:rPr>
        <w:t>porta tcp 8080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2 estão configurados os serviços HTTP (</w:t>
      </w:r>
      <w:r>
        <w:rPr>
          <w:rFonts w:ascii="Courier New" w:hAnsi="Courier New" w:eastAsia="Times New Roman" w:cs="Courier New"/>
          <w:sz w:val="20"/>
          <w:szCs w:val="20"/>
        </w:rPr>
        <w:t>porta tcp 80</w:t>
      </w:r>
      <w:r>
        <w:rPr>
          <w:rFonts w:ascii="Arial" w:hAnsi="Arial" w:eastAsia="Times New Roman" w:cs="Times New Roman"/>
          <w:sz w:val="20"/>
          <w:szCs w:val="20"/>
        </w:rPr>
        <w:t>), Email (</w:t>
      </w:r>
      <w:r>
        <w:rPr>
          <w:rFonts w:ascii="Courier New" w:hAnsi="Courier New" w:eastAsia="Times New Roman" w:cs="Courier New"/>
          <w:sz w:val="20"/>
          <w:szCs w:val="20"/>
        </w:rPr>
        <w:t>porta tcp 25</w:t>
      </w:r>
      <w:r>
        <w:rPr>
          <w:rFonts w:ascii="Arial" w:hAnsi="Arial" w:eastAsia="Times New Roman" w:cs="Times New Roman"/>
          <w:sz w:val="20"/>
          <w:szCs w:val="20"/>
        </w:rPr>
        <w:t>) e DNS (</w:t>
      </w:r>
      <w:r>
        <w:rPr>
          <w:rFonts w:ascii="Courier New" w:hAnsi="Courier New" w:eastAsia="Times New Roman" w:cs="Courier New"/>
          <w:sz w:val="20"/>
          <w:szCs w:val="20"/>
        </w:rPr>
        <w:t>porta TCP 53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FF"/>
        <w:ind w:left="426" w:hanging="284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a empresa adquiriu os seguintes endereços de rede para uso em expansões futuras</w:t>
      </w:r>
      <w:r>
        <w:rPr>
          <w:rFonts w:ascii="Courier New" w:hAnsi="Courier New" w:eastAsia="Times New Roman" w:cs="Courier New"/>
          <w:sz w:val="20"/>
          <w:szCs w:val="20"/>
        </w:rPr>
        <w:t>: 222.222.221.0/24; 222.222.222.0/24; 222.222.223.0/24; 222.222.224.0/24; 222.222.225.0/24; 222.222.226.0/24; 222.222.227.0/24.</w:t>
      </w:r>
    </w:p>
    <w:p>
      <w:pPr>
        <w:pStyle w:val="29"/>
        <w:shd w:val="clear" w:color="auto" w:fill="FFFFFF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tabela 1, a seguir, apresenta as portas de conexão dos equipamentos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  aos Switches e ao Roteador, além dos respectivos endereços IP recebidos via DHCP.</w:t>
      </w:r>
    </w:p>
    <w:p>
      <w:pPr>
        <w:jc w:val="center"/>
        <w:rPr>
          <w:rFonts w:ascii="Arial" w:hAnsi="Arial" w:eastAsia="Times New Roman" w:cs="Times New Roman"/>
          <w:b/>
          <w:sz w:val="20"/>
          <w:szCs w:val="20"/>
        </w:rPr>
      </w:pPr>
    </w:p>
    <w:p>
      <w:pPr>
        <w:jc w:val="center"/>
        <w:rPr>
          <w:rFonts w:ascii="Arial" w:hAnsi="Arial" w:eastAsia="Times New Roman" w:cs="Times New Roman"/>
          <w:b/>
          <w:szCs w:val="20"/>
        </w:rPr>
      </w:pPr>
      <w:r>
        <w:rPr>
          <w:rFonts w:ascii="Arial" w:hAnsi="Arial" w:eastAsia="Times New Roman" w:cs="Times New Roman"/>
          <w:b/>
          <w:sz w:val="20"/>
          <w:szCs w:val="20"/>
        </w:rPr>
        <w:t>Tabela 1:</w:t>
      </w:r>
      <w:r>
        <w:rPr>
          <w:rFonts w:ascii="Arial" w:hAnsi="Arial" w:eastAsia="Times New Roman" w:cs="Times New Roman"/>
          <w:sz w:val="20"/>
          <w:szCs w:val="20"/>
        </w:rPr>
        <w:t xml:space="preserve"> informações de conexão dos equipamentos existentes na 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sz w:val="20"/>
          <w:szCs w:val="20"/>
        </w:rPr>
        <w:t>”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5"/>
        <w:gridCol w:w="4162"/>
        <w:gridCol w:w="1692"/>
        <w:gridCol w:w="16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Equipamento</w:t>
            </w:r>
          </w:p>
        </w:tc>
        <w:tc>
          <w:tcPr>
            <w:tcW w:w="416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Porta de conexão utilizada no:</w:t>
            </w:r>
          </w:p>
        </w:tc>
        <w:tc>
          <w:tcPr>
            <w:tcW w:w="169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Endereço IP</w:t>
            </w:r>
          </w:p>
        </w:tc>
        <w:tc>
          <w:tcPr>
            <w:tcW w:w="1699" w:type="dxa"/>
            <w:shd w:val="clear" w:color="auto" w:fill="D8D8D8" w:themeFill="background1" w:themeFillShade="D9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Máscara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222.222.223.6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222.222.223.7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222.222.223.8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222.222.223.9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Gig2/0</w:t>
            </w:r>
          </w:p>
        </w:tc>
        <w:tc>
          <w:tcPr>
            <w:tcW w:w="3391" w:type="dxa"/>
            <w:gridSpan w:val="2"/>
            <w:vMerge w:val="restart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     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Switch2=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=Fa0/5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3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Roteador=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Gig1/0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4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5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Roteador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Gig0/0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&lt;--&gt; Internet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100.100.100.1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255.255.255.252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gig2/0.1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gig2/0.2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gig1/0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</w:tbl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jc w:val="both"/>
        <w:rPr>
          <w:rFonts w:ascii="Arial" w:hAnsi="Arial" w:eastAsia="Times New Roman" w:cs="Times New Roman"/>
          <w:sz w:val="28"/>
          <w:szCs w:val="28"/>
        </w:rPr>
      </w:pPr>
      <w:r>
        <w:rPr>
          <w:rFonts w:ascii="Arial" w:hAnsi="Arial" w:eastAsia="Times New Roman" w:cs="Times New Roman"/>
          <w:sz w:val="28"/>
          <w:szCs w:val="28"/>
        </w:rPr>
        <w:t xml:space="preserve">Este documento deverá ser utilizado como um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TEMPLATE</w:t>
      </w:r>
      <w:r>
        <w:rPr>
          <w:rFonts w:ascii="Arial" w:hAnsi="Arial" w:eastAsia="Times New Roman" w:cs="Times New Roman"/>
          <w:sz w:val="28"/>
          <w:szCs w:val="28"/>
        </w:rPr>
        <w:t xml:space="preserve"> a ser preenchido durante a resolução das atividades apresentadas a seguir. Ao final, salve este arquivo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>no formato .pdf</w:t>
      </w:r>
      <w:r>
        <w:rPr>
          <w:rFonts w:ascii="Arial" w:hAnsi="Arial" w:eastAsia="Times New Roman" w:cs="Times New Roman"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sz w:val="28"/>
          <w:szCs w:val="28"/>
        </w:rPr>
        <w:t xml:space="preserve">e realize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upload</w:t>
      </w:r>
      <w:r>
        <w:rPr>
          <w:rFonts w:ascii="Arial" w:hAnsi="Arial" w:eastAsia="Times New Roman" w:cs="Times New Roman"/>
          <w:sz w:val="28"/>
          <w:szCs w:val="28"/>
        </w:rPr>
        <w:t xml:space="preserve"> na área de trabalhos da disciplina.</w:t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----------------------------------------------------------------------------------------------------------------------------------------------Preencha os espaços a seguir com sua proposta de configuração: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1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SWITCH1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criar uma vlan de nome DIRETORIA que permita a ligação dos Laptops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1</w:t>
      </w:r>
      <w:r>
        <w:rPr>
          <w:rFonts w:ascii="Arial" w:hAnsi="Arial" w:eastAsia="Times New Roman" w:cs="Arial"/>
          <w:bCs/>
          <w:color w:val="FF0000"/>
          <w:sz w:val="20"/>
          <w:szCs w:val="20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e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2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DIRETORIA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fa0/3-4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access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access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fa0/1-2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/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2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SWITCH2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5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fa0/1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3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ROTEADOR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3.1. configurar endereço IPv4 na interface gig0/0;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3.2. configurar subinterfaces e atribuir endereços IPv4 (1 subinterface para a VLAN DEFAULT e outra subinterface para a VLAN DIRETORIA);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3.3. configurar o serviço DHCP no roteador para uso dos equipamentos na VLAN DIRETORIA;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3.4. configuração de regras ACL para bloquear qualquer tipo de tráfego com origem no host 222.222.221.4 com tendo como destino a INTERNET; Os demais tráfegos com origem na rede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 xml:space="preserve">GS 1 ODS2” </w:t>
      </w:r>
      <w:r>
        <w:rPr>
          <w:rFonts w:ascii="Arial" w:hAnsi="Arial" w:eastAsia="Times New Roman" w:cs="Arial"/>
          <w:bCs/>
          <w:sz w:val="20"/>
          <w:szCs w:val="20"/>
        </w:rPr>
        <w:t>com destino à INTERNET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3.5. configuração de regras ACL para bloquear o tráfego com origem no host 222.222.222.1 e com destino na porta TCP 8080 do host 222.222.223.2. Os demais tráfegos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3.6. aplicar as regras ACL nas interfaces do roteador: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222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1 255.255.0.0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100.100.100.1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 xml:space="preserve"> 255.255.255.252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exit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dhcp pool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default-router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net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0 255.255.255.0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deny host 222.222.221.4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1 out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222.222.222.1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222.222.223.2 eq 8080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gig1/0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2 out</w:t>
      </w:r>
    </w:p>
    <w:p>
      <w:pPr>
        <w:rPr>
          <w:lang w:val="en-US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4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Considerando o sucesso e crescimento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bCs/>
          <w:iCs/>
          <w:sz w:val="20"/>
          <w:szCs w:val="20"/>
          <w:u w:val="single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 acrescente na topologia pelo menos mais: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5 PCs que deverão ser conectados aos switches existentes;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1 access-point para permitir conexão via Wi-Fi à rede da empresa;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2 aparelhos celulares para fazer uso da conexão Wi-Fi;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bCs w:val="0"/>
          <w:i/>
          <w:iCs/>
          <w:sz w:val="20"/>
          <w:szCs w:val="20"/>
        </w:rPr>
        <w:t>Os equipamentos poderão ser inseridos na topologia em qualquer posição à escolha da equipe</w:t>
      </w:r>
      <w:r>
        <w:rPr>
          <w:rFonts w:ascii="Arial" w:hAnsi="Arial" w:eastAsia="Times New Roman" w:cs="Arial"/>
          <w:bCs/>
          <w:sz w:val="20"/>
          <w:szCs w:val="20"/>
        </w:rPr>
        <w:t xml:space="preserve"> (CUIDADO: esse é o momento de apresentar uma proposta exclusiva de sua equipe. EVITEM PLÁGIO!)</w:t>
      </w:r>
    </w:p>
    <w:p>
      <w:r>
        <w:drawing>
          <wp:inline distT="0" distB="0" distL="114300" distR="114300">
            <wp:extent cx="6022340" cy="2922905"/>
            <wp:effectExtent l="0" t="0" r="16510" b="1079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234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5 (2 pontos): </w:t>
      </w:r>
      <w:r>
        <w:rPr>
          <w:rFonts w:ascii="Arial" w:hAnsi="Arial" w:eastAsia="Times New Roman" w:cs="Arial"/>
          <w:bCs/>
          <w:sz w:val="20"/>
          <w:szCs w:val="20"/>
        </w:rPr>
        <w:t>Nos espaços a seguir, da letra a) até a letra f), apresente as configurações a serem realizadas nos equipamentos para que: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 os 5 PCS acrescentados na atividade 4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o </w:t>
      </w:r>
      <w:r>
        <w:rPr>
          <w:rFonts w:ascii="Arial" w:hAnsi="Arial" w:eastAsia="Times New Roman" w:cs="Arial"/>
          <w:bCs/>
          <w:i/>
          <w:iCs/>
          <w:sz w:val="20"/>
          <w:szCs w:val="20"/>
        </w:rPr>
        <w:t>access-point</w:t>
      </w:r>
      <w:r>
        <w:rPr>
          <w:rFonts w:ascii="Arial" w:hAnsi="Arial" w:eastAsia="Times New Roman" w:cs="Arial"/>
          <w:bCs/>
          <w:sz w:val="20"/>
          <w:szCs w:val="20"/>
        </w:rPr>
        <w:t xml:space="preserve"> e os 2 aparelhos celulares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os 5 PCS e os 2 aparelhos celulares recebam endereço IP de um serviço DHCP a ser configurado por sua equipe.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Observação:</w:t>
      </w:r>
      <w:r>
        <w:rPr>
          <w:rFonts w:ascii="Arial" w:hAnsi="Arial" w:eastAsia="Times New Roman" w:cs="Arial"/>
          <w:bCs/>
          <w:sz w:val="20"/>
          <w:szCs w:val="20"/>
        </w:rPr>
        <w:t xml:space="preserve"> Mantenha vazio os espaços relativos a equipamentos que não irão receber configuração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Espaço para as configurações a serem realizadas no Roteador (</w:t>
      </w:r>
      <w:r>
        <w:rPr>
          <w:rFonts w:ascii="Courier New" w:hAnsi="Courier New" w:eastAsia="Times New Roman" w:cs="Courier New"/>
          <w:b/>
          <w:sz w:val="20"/>
          <w:szCs w:val="20"/>
        </w:rPr>
        <w:t>Router3</w:t>
      </w:r>
      <w:r>
        <w:rPr>
          <w:rFonts w:ascii="Arial" w:hAnsi="Arial" w:eastAsia="Times New Roman" w:cs="Arial"/>
          <w:bCs/>
          <w:sz w:val="20"/>
          <w:szCs w:val="20"/>
        </w:rPr>
        <w:t>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color w:val="C00000"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SWITCH1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ind w:left="360"/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SWITCH2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SWITCH3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SWITCH4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SWITCH5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6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a descrição de 3 regras de uma política de segurança a ser implementado na topologia. Sigam o exemplo a seguir: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Regra 0: </w:t>
      </w:r>
      <w:r>
        <w:rPr>
          <w:rFonts w:ascii="Arial" w:hAnsi="Arial" w:eastAsia="Times New Roman" w:cs="Arial"/>
          <w:bCs/>
          <w:sz w:val="20"/>
          <w:szCs w:val="20"/>
        </w:rPr>
        <w:t>Os hosts destinados ao SAC (SAC1 e SAC2) não poderão ter acesso ao serviço HTTP configurado no SERVIDOR1 na porta TCP 8080;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hint="default" w:ascii="Arial" w:hAnsi="Arial" w:eastAsia="Times New Roman" w:cs="Arial"/>
          <w:b/>
          <w:sz w:val="20"/>
          <w:szCs w:val="20"/>
          <w:lang w:val="pt-BR"/>
        </w:rPr>
        <w:t xml:space="preserve"> </w:t>
      </w: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Os departamentos devem estar separados em VLANs.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</w:t>
      </w: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Os departamentos devem estar separados em ACLs, definidos por hierarquia. Por exemplo: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- Diretoria deve ter acesso à qualquer área da empresa;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Vendas pode ter acesso ao SAC e vice-versa, além de possuírem acesso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Projeto e Inovação devem ter acesso à todas as áreas menos à diretoria;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Design deve ter acesso apenas a sua VLAN, e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Obs.: Todos devem ter acesso à Internet.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hint="default" w:ascii="Arial" w:hAnsi="Arial" w:eastAsia="Times New Roman" w:cs="Arial"/>
          <w:b/>
          <w:sz w:val="20"/>
          <w:szCs w:val="20"/>
          <w:lang w:val="pt-BR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</w:t>
      </w: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Liberar acessos vindos da Internet apenas para o servidor Público e apenas a HTTP.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br w:type="page"/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7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os comandos para implantação das regras da política de segurança proposta por sua equipe na atividade 6.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1 da política de segurança proposta por sua equipe na atividade 6.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/>
          <w:bCs w:val="0"/>
          <w:sz w:val="20"/>
          <w:szCs w:val="20"/>
          <w:lang w:val="pt-BR"/>
        </w:rPr>
        <w:t>R.:</w:t>
      </w: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 Já foi criada na Atividade 5.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2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3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8 (1 ponto). </w:t>
      </w:r>
      <w:r>
        <w:rPr>
          <w:rFonts w:ascii="Arial" w:hAnsi="Arial" w:eastAsia="Times New Roman" w:cs="Arial"/>
          <w:bCs/>
          <w:sz w:val="20"/>
          <w:szCs w:val="20"/>
        </w:rPr>
        <w:t>Apresente os comandos necessários para configurar roteamento RIP no roteador existente.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hint="default" w:ascii="Arial" w:hAnsi="Arial" w:eastAsia="Times New Roman" w:cs="Arial"/>
          <w:b/>
          <w:bCs w:val="0"/>
          <w:sz w:val="20"/>
          <w:szCs w:val="20"/>
          <w:lang w:val="pt-BR"/>
        </w:rPr>
        <w:t>R.:</w:t>
      </w: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 Não parece haver necessidade de configuração de RIP na topologia descrita pois há apenas um Router.</w:t>
      </w:r>
      <w:bookmarkStart w:id="0" w:name="_GoBack"/>
      <w:bookmarkEnd w:id="0"/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b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9 (1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Realize todas as configurações apresentadas nas atividades anteriores utilizando o software CISCO Packet Tracer e faça </w:t>
      </w:r>
      <w:r>
        <w:rPr>
          <w:rFonts w:ascii="Arial" w:hAnsi="Arial" w:eastAsia="Times New Roman" w:cs="Arial"/>
          <w:b/>
          <w:i/>
          <w:iCs/>
          <w:sz w:val="20"/>
          <w:szCs w:val="20"/>
        </w:rPr>
        <w:t>upload</w:t>
      </w:r>
      <w:r>
        <w:rPr>
          <w:rFonts w:ascii="Arial" w:hAnsi="Arial" w:eastAsia="Times New Roman" w:cs="Arial"/>
          <w:bCs/>
          <w:sz w:val="20"/>
          <w:szCs w:val="20"/>
        </w:rPr>
        <w:t xml:space="preserve"> do arquivo .pkt (compactado na versão .zip) juntamente com este documento salvo na versão .PDF no Portal da FIAP, na área de trabalhos da disciplina.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sectPr>
      <w:headerReference r:id="rId3" w:type="default"/>
      <w:pgSz w:w="11900" w:h="16840"/>
      <w:pgMar w:top="1135" w:right="1268" w:bottom="1440" w:left="1134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numPr>
        <w:ilvl w:val="0"/>
        <w:numId w:val="0"/>
      </w:numPr>
      <w:spacing w:before="0" w:line="360" w:lineRule="auto"/>
      <w:ind w:left="2126"/>
      <w:rPr>
        <w:sz w:val="24"/>
        <w:lang w:val="en-US"/>
      </w:rPr>
    </w:pPr>
    <w:r>
      <w:rPr>
        <w:sz w:val="24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2540</wp:posOffset>
          </wp:positionH>
          <wp:positionV relativeFrom="paragraph">
            <wp:align>center</wp:align>
          </wp:positionV>
          <wp:extent cx="1085850" cy="323850"/>
          <wp:effectExtent l="0" t="0" r="0" b="0"/>
          <wp:wrapSquare wrapText="bothSides"/>
          <wp:docPr id="66564" name="Imagem 66564" descr="FIAP-NOVO-2014-MAGENT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4" name="Imagem 66564" descr="FIAP-NOVO-2014-MAGENT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585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4"/>
        <w:lang w:val="en-US"/>
      </w:rPr>
      <w:t>Disciplina: Network Fundamentals and Security</w:t>
    </w:r>
  </w:p>
  <w:p>
    <w:pPr>
      <w:pStyle w:val="3"/>
      <w:numPr>
        <w:ilvl w:val="0"/>
        <w:numId w:val="0"/>
      </w:numPr>
      <w:spacing w:before="0" w:line="360" w:lineRule="auto"/>
      <w:ind w:left="2126"/>
      <w:rPr>
        <w:sz w:val="2"/>
        <w:szCs w:val="4"/>
      </w:rPr>
    </w:pPr>
    <w:r>
      <w:rPr>
        <w:sz w:val="24"/>
      </w:rPr>
      <w:t>Prof. Dr. Mauro César Bernardes</w:t>
    </w:r>
    <w:r>
      <w:rPr>
        <w:sz w:val="2"/>
        <w:szCs w:val="4"/>
      </w:rPr>
      <w:t xml:space="preserve"> </w:t>
    </w:r>
  </w:p>
  <w:p>
    <w:r>
      <w:t>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F068EA"/>
    <w:multiLevelType w:val="multilevel"/>
    <w:tmpl w:val="09F068EA"/>
    <w:lvl w:ilvl="0" w:tentative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>
    <w:nsid w:val="09F70AB9"/>
    <w:multiLevelType w:val="multilevel"/>
    <w:tmpl w:val="09F70AB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2">
    <w:nsid w:val="0A0E71DA"/>
    <w:multiLevelType w:val="multilevel"/>
    <w:tmpl w:val="0A0E71D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FCE4DBA"/>
    <w:multiLevelType w:val="multilevel"/>
    <w:tmpl w:val="1FCE4DBA"/>
    <w:lvl w:ilvl="0" w:tentative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8049C"/>
    <w:multiLevelType w:val="multilevel"/>
    <w:tmpl w:val="28E8049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2D090031"/>
    <w:multiLevelType w:val="multilevel"/>
    <w:tmpl w:val="2D090031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6">
    <w:nsid w:val="2F2853BE"/>
    <w:multiLevelType w:val="multilevel"/>
    <w:tmpl w:val="2F2853B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C7559FD"/>
    <w:multiLevelType w:val="multilevel"/>
    <w:tmpl w:val="4C7559F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595"/>
    <w:rsid w:val="000008F7"/>
    <w:rsid w:val="0001416F"/>
    <w:rsid w:val="00017A85"/>
    <w:rsid w:val="000246B6"/>
    <w:rsid w:val="0003732B"/>
    <w:rsid w:val="00052B63"/>
    <w:rsid w:val="00090A70"/>
    <w:rsid w:val="000B17EA"/>
    <w:rsid w:val="000B1854"/>
    <w:rsid w:val="000C7083"/>
    <w:rsid w:val="000D634C"/>
    <w:rsid w:val="000D6651"/>
    <w:rsid w:val="001653A3"/>
    <w:rsid w:val="00184E21"/>
    <w:rsid w:val="001A5B1F"/>
    <w:rsid w:val="001B0280"/>
    <w:rsid w:val="001F2D24"/>
    <w:rsid w:val="00231AB4"/>
    <w:rsid w:val="002A0CED"/>
    <w:rsid w:val="002C2F84"/>
    <w:rsid w:val="002D5350"/>
    <w:rsid w:val="002D58D7"/>
    <w:rsid w:val="002E43CC"/>
    <w:rsid w:val="002E613C"/>
    <w:rsid w:val="00322C65"/>
    <w:rsid w:val="00326595"/>
    <w:rsid w:val="00370100"/>
    <w:rsid w:val="00381AD9"/>
    <w:rsid w:val="00383B3D"/>
    <w:rsid w:val="003D2564"/>
    <w:rsid w:val="003D5DE0"/>
    <w:rsid w:val="004111A4"/>
    <w:rsid w:val="00431DB2"/>
    <w:rsid w:val="004426BF"/>
    <w:rsid w:val="00467BA2"/>
    <w:rsid w:val="00497EED"/>
    <w:rsid w:val="004B695C"/>
    <w:rsid w:val="0052180D"/>
    <w:rsid w:val="00585D68"/>
    <w:rsid w:val="005E123E"/>
    <w:rsid w:val="005F2BED"/>
    <w:rsid w:val="00630690"/>
    <w:rsid w:val="0063595D"/>
    <w:rsid w:val="00637808"/>
    <w:rsid w:val="006A00EF"/>
    <w:rsid w:val="006A2774"/>
    <w:rsid w:val="006C2B65"/>
    <w:rsid w:val="006D1464"/>
    <w:rsid w:val="006E4D01"/>
    <w:rsid w:val="0073028F"/>
    <w:rsid w:val="0073160D"/>
    <w:rsid w:val="00747336"/>
    <w:rsid w:val="007655DB"/>
    <w:rsid w:val="007A46D0"/>
    <w:rsid w:val="007D7D15"/>
    <w:rsid w:val="007F15D8"/>
    <w:rsid w:val="00817BAB"/>
    <w:rsid w:val="00870463"/>
    <w:rsid w:val="00885322"/>
    <w:rsid w:val="008A36CF"/>
    <w:rsid w:val="008B377C"/>
    <w:rsid w:val="008C474A"/>
    <w:rsid w:val="009404CF"/>
    <w:rsid w:val="0097451B"/>
    <w:rsid w:val="0098455B"/>
    <w:rsid w:val="00985CE1"/>
    <w:rsid w:val="009908BB"/>
    <w:rsid w:val="0099607F"/>
    <w:rsid w:val="009D1955"/>
    <w:rsid w:val="009E5EA8"/>
    <w:rsid w:val="00A428C6"/>
    <w:rsid w:val="00A57407"/>
    <w:rsid w:val="00AA1FC1"/>
    <w:rsid w:val="00AB189F"/>
    <w:rsid w:val="00AD0B89"/>
    <w:rsid w:val="00B31780"/>
    <w:rsid w:val="00B329C8"/>
    <w:rsid w:val="00B377F0"/>
    <w:rsid w:val="00B72B93"/>
    <w:rsid w:val="00B751FA"/>
    <w:rsid w:val="00BA5494"/>
    <w:rsid w:val="00BF3073"/>
    <w:rsid w:val="00C35EB4"/>
    <w:rsid w:val="00C45820"/>
    <w:rsid w:val="00C855C0"/>
    <w:rsid w:val="00C9325F"/>
    <w:rsid w:val="00CA2235"/>
    <w:rsid w:val="00D13FE6"/>
    <w:rsid w:val="00D4082C"/>
    <w:rsid w:val="00D71C19"/>
    <w:rsid w:val="00D819FF"/>
    <w:rsid w:val="00DA331D"/>
    <w:rsid w:val="00E20005"/>
    <w:rsid w:val="00E201A7"/>
    <w:rsid w:val="00E51846"/>
    <w:rsid w:val="00E5671D"/>
    <w:rsid w:val="00E65B4D"/>
    <w:rsid w:val="00E766B5"/>
    <w:rsid w:val="00E806AD"/>
    <w:rsid w:val="00E9021C"/>
    <w:rsid w:val="00E90331"/>
    <w:rsid w:val="00E93C57"/>
    <w:rsid w:val="00E955FA"/>
    <w:rsid w:val="00E97584"/>
    <w:rsid w:val="00EA3DB3"/>
    <w:rsid w:val="00EC19C0"/>
    <w:rsid w:val="00EC7515"/>
    <w:rsid w:val="00EE74B1"/>
    <w:rsid w:val="00F23F17"/>
    <w:rsid w:val="00F321A4"/>
    <w:rsid w:val="00F43D22"/>
    <w:rsid w:val="01622921"/>
    <w:rsid w:val="035717DD"/>
    <w:rsid w:val="05BC4626"/>
    <w:rsid w:val="061A71C5"/>
    <w:rsid w:val="07677245"/>
    <w:rsid w:val="089E6313"/>
    <w:rsid w:val="08AC3EDF"/>
    <w:rsid w:val="08B55ACE"/>
    <w:rsid w:val="0D980066"/>
    <w:rsid w:val="0DB202FC"/>
    <w:rsid w:val="11796265"/>
    <w:rsid w:val="137D7196"/>
    <w:rsid w:val="170D06D9"/>
    <w:rsid w:val="1A0933D9"/>
    <w:rsid w:val="1B1811B0"/>
    <w:rsid w:val="1CA8432E"/>
    <w:rsid w:val="2156230B"/>
    <w:rsid w:val="2A1F6EE5"/>
    <w:rsid w:val="2EA60F98"/>
    <w:rsid w:val="333C1190"/>
    <w:rsid w:val="358931C8"/>
    <w:rsid w:val="365A3EE1"/>
    <w:rsid w:val="37DB664D"/>
    <w:rsid w:val="39DB105D"/>
    <w:rsid w:val="3A347BA7"/>
    <w:rsid w:val="3D9708C6"/>
    <w:rsid w:val="41FD36BD"/>
    <w:rsid w:val="42E14FB0"/>
    <w:rsid w:val="42F448D4"/>
    <w:rsid w:val="45EC2137"/>
    <w:rsid w:val="480C233A"/>
    <w:rsid w:val="4A046EDC"/>
    <w:rsid w:val="4BDD099C"/>
    <w:rsid w:val="4C6F1BC7"/>
    <w:rsid w:val="4DEC5900"/>
    <w:rsid w:val="54D74270"/>
    <w:rsid w:val="56BC4F55"/>
    <w:rsid w:val="5A720A8E"/>
    <w:rsid w:val="5C386BA0"/>
    <w:rsid w:val="5C582BE3"/>
    <w:rsid w:val="5D4D5538"/>
    <w:rsid w:val="62544D43"/>
    <w:rsid w:val="68E31F3D"/>
    <w:rsid w:val="69BE7FAA"/>
    <w:rsid w:val="6AAE0DC1"/>
    <w:rsid w:val="71170478"/>
    <w:rsid w:val="77B51620"/>
    <w:rsid w:val="78436732"/>
    <w:rsid w:val="78AF777E"/>
    <w:rsid w:val="78B8060D"/>
    <w:rsid w:val="7926634C"/>
    <w:rsid w:val="7CF5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pt-BR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unhideWhenUsed/>
    <w:uiPriority w:val="99"/>
    <w:rPr>
      <w:color w:val="0000FF"/>
      <w:u w:val="single"/>
    </w:rPr>
  </w:style>
  <w:style w:type="paragraph" w:styleId="15">
    <w:name w:val="Normal (Web)"/>
    <w:basedOn w:val="1"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lang w:eastAsia="pt-BR"/>
    </w:rPr>
  </w:style>
  <w:style w:type="paragraph" w:styleId="16">
    <w:name w:val="header"/>
    <w:basedOn w:val="1"/>
    <w:link w:val="31"/>
    <w:unhideWhenUsed/>
    <w:uiPriority w:val="99"/>
    <w:pPr>
      <w:tabs>
        <w:tab w:val="center" w:pos="4252"/>
        <w:tab w:val="right" w:pos="8504"/>
      </w:tabs>
    </w:pPr>
  </w:style>
  <w:style w:type="paragraph" w:styleId="17">
    <w:name w:val="footer"/>
    <w:basedOn w:val="1"/>
    <w:link w:val="32"/>
    <w:unhideWhenUsed/>
    <w:uiPriority w:val="99"/>
    <w:pPr>
      <w:tabs>
        <w:tab w:val="center" w:pos="4252"/>
        <w:tab w:val="right" w:pos="8504"/>
      </w:tabs>
    </w:pPr>
  </w:style>
  <w:style w:type="paragraph" w:styleId="18">
    <w:name w:val="Balloon Text"/>
    <w:basedOn w:val="1"/>
    <w:link w:val="30"/>
    <w:semiHidden/>
    <w:unhideWhenUsed/>
    <w:qFormat/>
    <w:uiPriority w:val="99"/>
    <w:rPr>
      <w:rFonts w:ascii="Tahoma" w:hAnsi="Tahoma" w:cs="Tahoma"/>
      <w:sz w:val="16"/>
      <w:szCs w:val="16"/>
    </w:rPr>
  </w:style>
  <w:style w:type="table" w:styleId="19">
    <w:name w:val="Table Grid"/>
    <w:basedOn w:val="1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Título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character" w:customStyle="1" w:styleId="21">
    <w:name w:val="Título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2">
    <w:name w:val="Título 3 Char"/>
    <w:basedOn w:val="11"/>
    <w:link w:val="4"/>
    <w:semiHidden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3">
    <w:name w:val="Título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4">
    <w:name w:val="Título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25">
    <w:name w:val="Título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26">
    <w:name w:val="Título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Título 8 Char"/>
    <w:basedOn w:val="11"/>
    <w:link w:val="9"/>
    <w:semiHidden/>
    <w:uiPriority w:val="9"/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Título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Texto de balão Char"/>
    <w:basedOn w:val="11"/>
    <w:link w:val="18"/>
    <w:semiHidden/>
    <w:uiPriority w:val="99"/>
    <w:rPr>
      <w:rFonts w:ascii="Tahoma" w:hAnsi="Tahoma" w:cs="Tahoma"/>
      <w:sz w:val="16"/>
      <w:szCs w:val="16"/>
    </w:rPr>
  </w:style>
  <w:style w:type="character" w:customStyle="1" w:styleId="31">
    <w:name w:val="Cabeçalho Char"/>
    <w:basedOn w:val="11"/>
    <w:link w:val="16"/>
    <w:uiPriority w:val="99"/>
  </w:style>
  <w:style w:type="character" w:customStyle="1" w:styleId="32">
    <w:name w:val="Rodapé Char"/>
    <w:basedOn w:val="11"/>
    <w:link w:val="17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diagramDrawing" Target="diagrams/drawing1.xml"/><Relationship Id="rId8" Type="http://schemas.openxmlformats.org/officeDocument/2006/relationships/diagramColors" Target="diagrams/colors1.xml"/><Relationship Id="rId7" Type="http://schemas.openxmlformats.org/officeDocument/2006/relationships/diagramQuickStyle" Target="diagrams/quickStyle1.xml"/><Relationship Id="rId6" Type="http://schemas.openxmlformats.org/officeDocument/2006/relationships/diagramLayout" Target="diagrams/layout1.xml"/><Relationship Id="rId5" Type="http://schemas.openxmlformats.org/officeDocument/2006/relationships/diagramData" Target="diagrams/data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54AADCF-90BF-46E8-A30E-E86C1F0460DC}" type="doc">
      <dgm:prSet loTypeId="urn:microsoft.com/office/officeart/2005/8/layout/cycle6" loCatId="cycle" qsTypeId="urn:microsoft.com/office/officeart/2005/8/quickstyle/simple1" qsCatId="simple" csTypeId="urn:microsoft.com/office/officeart/2005/8/colors/accent0_1" csCatId="mainScheme" phldr="1"/>
      <dgm:spPr/>
      <dgm:t>
        <a:bodyPr/>
        <a:p>
          <a:endParaRPr lang="pt-BR"/>
        </a:p>
      </dgm:t>
    </dgm:pt>
    <dgm:pt modelId="{752DAE4C-EF0F-4BBB-B666-BB2F905B651B}">
      <dgm:prSet phldrT="[Texto]" custT="1"/>
      <dgm:spPr/>
      <dgm:t>
        <a:bodyPr/>
        <a:p>
          <a:r>
            <a:rPr lang="pt-BR" sz="1600"/>
            <a:t>Diretoria</a:t>
          </a:r>
        </a:p>
      </dgm:t>
    </dgm:pt>
    <dgm:pt modelId="{65D84391-87F1-4E36-8AFB-6850C80D7926}" cxnId="{866447A6-F319-4906-8782-C6C3A4A238CA}" type="parTrans">
      <dgm:prSet/>
      <dgm:spPr/>
      <dgm:t>
        <a:bodyPr/>
        <a:p>
          <a:endParaRPr lang="pt-BR"/>
        </a:p>
      </dgm:t>
    </dgm:pt>
    <dgm:pt modelId="{46267A93-B9E2-46E9-A802-8AAB623DA257}" cxnId="{866447A6-F319-4906-8782-C6C3A4A238CA}" type="sibTrans">
      <dgm:prSet/>
      <dgm:spPr/>
      <dgm:t>
        <a:bodyPr/>
        <a:p>
          <a:endParaRPr lang="pt-BR"/>
        </a:p>
      </dgm:t>
    </dgm:pt>
    <dgm:pt modelId="{9CA7E7BE-C2F4-4BC3-8070-203C69630FAF}">
      <dgm:prSet phldrT="[Texto]" custT="1"/>
      <dgm:spPr/>
      <dgm:t>
        <a:bodyPr/>
        <a:p>
          <a:r>
            <a:rPr lang="pt-BR" sz="1600"/>
            <a:t>Design</a:t>
          </a:r>
        </a:p>
      </dgm:t>
    </dgm:pt>
    <dgm:pt modelId="{B13D63E7-7E4E-4411-A6C8-8DA32AC2B03F}" cxnId="{626A2E44-175E-42DA-9731-220BDFA3CC14}" type="parTrans">
      <dgm:prSet/>
      <dgm:spPr/>
      <dgm:t>
        <a:bodyPr/>
        <a:p>
          <a:endParaRPr lang="pt-BR"/>
        </a:p>
      </dgm:t>
    </dgm:pt>
    <dgm:pt modelId="{2ADCE41C-67B8-40A6-BF72-0F3331BB23DF}" cxnId="{626A2E44-175E-42DA-9731-220BDFA3CC14}" type="sibTrans">
      <dgm:prSet/>
      <dgm:spPr/>
      <dgm:t>
        <a:bodyPr/>
        <a:p>
          <a:endParaRPr lang="pt-BR"/>
        </a:p>
      </dgm:t>
    </dgm:pt>
    <dgm:pt modelId="{5BED07A5-F862-4D62-ABDA-4667919B0B30}">
      <dgm:prSet phldrT="[Texto]" custT="1"/>
      <dgm:spPr/>
      <dgm:t>
        <a:bodyPr/>
        <a:p>
          <a:r>
            <a:rPr lang="pt-BR" sz="1600"/>
            <a:t>Projetos</a:t>
          </a:r>
        </a:p>
      </dgm:t>
    </dgm:pt>
    <dgm:pt modelId="{59FAA153-8404-4919-9636-F8FCDD2D8F6D}" cxnId="{33577890-A2B9-4B2D-AF1F-ECB76833EBC4}" type="parTrans">
      <dgm:prSet/>
      <dgm:spPr/>
      <dgm:t>
        <a:bodyPr/>
        <a:p>
          <a:endParaRPr lang="pt-BR"/>
        </a:p>
      </dgm:t>
    </dgm:pt>
    <dgm:pt modelId="{D4ECF28D-CF27-471A-89A5-F491C4A71CDE}" cxnId="{33577890-A2B9-4B2D-AF1F-ECB76833EBC4}" type="sibTrans">
      <dgm:prSet/>
      <dgm:spPr/>
      <dgm:t>
        <a:bodyPr/>
        <a:p>
          <a:endParaRPr lang="pt-BR"/>
        </a:p>
      </dgm:t>
    </dgm:pt>
    <dgm:pt modelId="{46CD832D-DE15-4055-B4A8-31DA792AD969}">
      <dgm:prSet phldrT="[Texto]" custT="1"/>
      <dgm:spPr/>
      <dgm:t>
        <a:bodyPr/>
        <a:p>
          <a:r>
            <a:rPr lang="pt-BR" sz="1200"/>
            <a:t>SAC</a:t>
          </a:r>
          <a:endParaRPr lang="pt-BR" sz="1050"/>
        </a:p>
        <a:p>
          <a:r>
            <a:rPr lang="pt-BR" sz="700"/>
            <a:t>(</a:t>
          </a:r>
          <a:r>
            <a:rPr lang="pt-BR" sz="900"/>
            <a:t>Serviço de Apoio ao Cliente)</a:t>
          </a:r>
        </a:p>
      </dgm:t>
    </dgm:pt>
    <dgm:pt modelId="{A6A90876-119F-4B27-B3F9-41A330A67FD2}" cxnId="{41F767E0-6D73-4897-A38F-4F2F11CCAC9D}" type="parTrans">
      <dgm:prSet/>
      <dgm:spPr/>
      <dgm:t>
        <a:bodyPr/>
        <a:p>
          <a:endParaRPr lang="pt-BR"/>
        </a:p>
      </dgm:t>
    </dgm:pt>
    <dgm:pt modelId="{69272531-04DB-4D69-B834-008663F65D5E}" cxnId="{41F767E0-6D73-4897-A38F-4F2F11CCAC9D}" type="sibTrans">
      <dgm:prSet/>
      <dgm:spPr/>
      <dgm:t>
        <a:bodyPr/>
        <a:p>
          <a:endParaRPr lang="pt-BR"/>
        </a:p>
      </dgm:t>
    </dgm:pt>
    <dgm:pt modelId="{36F8F3CE-A921-4735-9F83-7D384214A545}">
      <dgm:prSet phldrT="[Texto]" custT="1"/>
      <dgm:spPr/>
      <dgm:t>
        <a:bodyPr/>
        <a:p>
          <a:r>
            <a:rPr lang="pt-BR" sz="1600"/>
            <a:t>Inovação</a:t>
          </a:r>
        </a:p>
      </dgm:t>
    </dgm:pt>
    <dgm:pt modelId="{2A2BD10A-D939-46CB-9CAF-AEDD19B27558}" cxnId="{C4898C23-9E5E-4D99-8988-917F95A2F71D}" type="parTrans">
      <dgm:prSet/>
      <dgm:spPr/>
      <dgm:t>
        <a:bodyPr/>
        <a:p>
          <a:endParaRPr lang="pt-BR"/>
        </a:p>
      </dgm:t>
    </dgm:pt>
    <dgm:pt modelId="{ECE1BCF2-E42F-4A9D-B4D2-1B196235D224}" cxnId="{C4898C23-9E5E-4D99-8988-917F95A2F71D}" type="sibTrans">
      <dgm:prSet/>
      <dgm:spPr/>
      <dgm:t>
        <a:bodyPr/>
        <a:p>
          <a:endParaRPr lang="pt-BR"/>
        </a:p>
      </dgm:t>
    </dgm:pt>
    <dgm:pt modelId="{A20E1A25-AF06-4B65-9707-511B32109E7C}">
      <dgm:prSet phldrT="[Texto]" custT="1"/>
      <dgm:spPr/>
      <dgm:t>
        <a:bodyPr/>
        <a:p>
          <a:r>
            <a:rPr lang="pt-BR" sz="1600"/>
            <a:t>Vendas</a:t>
          </a:r>
        </a:p>
      </dgm:t>
    </dgm:pt>
    <dgm:pt modelId="{6F76586B-BB4E-4FDA-9347-CCA9116C5C94}" cxnId="{816A7017-1A90-4115-8244-2F70869402FF}" type="parTrans">
      <dgm:prSet/>
      <dgm:spPr/>
      <dgm:t>
        <a:bodyPr/>
        <a:p>
          <a:endParaRPr lang="pt-BR"/>
        </a:p>
      </dgm:t>
    </dgm:pt>
    <dgm:pt modelId="{A213D468-0542-4DC1-BBA0-4D35E8F1C2CD}" cxnId="{816A7017-1A90-4115-8244-2F70869402FF}" type="sibTrans">
      <dgm:prSet/>
      <dgm:spPr/>
      <dgm:t>
        <a:bodyPr/>
        <a:p>
          <a:endParaRPr lang="pt-BR"/>
        </a:p>
      </dgm:t>
    </dgm:pt>
    <dgm:pt modelId="{A6AF3CDC-0E7D-48AD-AEA4-B51FDB8517A1}" type="pres">
      <dgm:prSet presAssocID="{554AADCF-90BF-46E8-A30E-E86C1F0460DC}" presName="cycle" presStyleCnt="0">
        <dgm:presLayoutVars>
          <dgm:dir/>
          <dgm:resizeHandles val="exact"/>
        </dgm:presLayoutVars>
      </dgm:prSet>
      <dgm:spPr/>
    </dgm:pt>
    <dgm:pt modelId="{C756577B-49A1-435B-B485-72856552E1C7}" type="pres">
      <dgm:prSet presAssocID="{752DAE4C-EF0F-4BBB-B666-BB2F905B651B}" presName="node" presStyleLbl="node1" presStyleIdx="0" presStyleCnt="6" custScaleX="220019" custRadScaleRad="90196" custRadScaleInc="28056">
        <dgm:presLayoutVars>
          <dgm:bulletEnabled val="1"/>
        </dgm:presLayoutVars>
      </dgm:prSet>
      <dgm:spPr/>
    </dgm:pt>
    <dgm:pt modelId="{377F7DD2-CEEF-4CA8-9112-BAC8AA88D5EB}" type="pres">
      <dgm:prSet presAssocID="{752DAE4C-EF0F-4BBB-B666-BB2F905B651B}" presName="spNode" presStyleCnt="0"/>
      <dgm:spPr/>
    </dgm:pt>
    <dgm:pt modelId="{D3C3761E-3E0C-4EEF-A911-9755E226577D}" type="pres">
      <dgm:prSet presAssocID="{46267A93-B9E2-46E9-A802-8AAB623DA257}" presName="sibTrans" presStyleLbl="sibTrans1D1" presStyleIdx="0" presStyleCnt="6"/>
      <dgm:spPr/>
    </dgm:pt>
    <dgm:pt modelId="{42F37F9C-69C6-4BE9-8601-3A4355D807D7}" type="pres">
      <dgm:prSet presAssocID="{9CA7E7BE-C2F4-4BC3-8070-203C69630FAF}" presName="node" presStyleLbl="node1" presStyleIdx="1" presStyleCnt="6" custScaleX="269836" custRadScaleRad="105462" custRadScaleInc="61528">
        <dgm:presLayoutVars>
          <dgm:bulletEnabled val="1"/>
        </dgm:presLayoutVars>
      </dgm:prSet>
      <dgm:spPr/>
    </dgm:pt>
    <dgm:pt modelId="{1BC1A838-3BE5-4629-8C64-6CDE2CC6422D}" type="pres">
      <dgm:prSet presAssocID="{9CA7E7BE-C2F4-4BC3-8070-203C69630FAF}" presName="spNode" presStyleCnt="0"/>
      <dgm:spPr/>
    </dgm:pt>
    <dgm:pt modelId="{F95A655E-387D-4062-AFC0-D5441859076B}" type="pres">
      <dgm:prSet presAssocID="{2ADCE41C-67B8-40A6-BF72-0F3331BB23DF}" presName="sibTrans" presStyleLbl="sibTrans1D1" presStyleIdx="1" presStyleCnt="6"/>
      <dgm:spPr/>
    </dgm:pt>
    <dgm:pt modelId="{6C213E91-3FDF-4967-8CE9-AA7B82A2B2D1}" type="pres">
      <dgm:prSet presAssocID="{5BED07A5-F862-4D62-ABDA-4667919B0B30}" presName="node" presStyleLbl="node1" presStyleIdx="2" presStyleCnt="6" custScaleX="269836" custRadScaleRad="104749" custRadScaleInc="-50422">
        <dgm:presLayoutVars>
          <dgm:bulletEnabled val="1"/>
        </dgm:presLayoutVars>
      </dgm:prSet>
      <dgm:spPr/>
    </dgm:pt>
    <dgm:pt modelId="{B2ACA7E8-37FD-42E6-AA0E-BA9D07952378}" type="pres">
      <dgm:prSet presAssocID="{5BED07A5-F862-4D62-ABDA-4667919B0B30}" presName="spNode" presStyleCnt="0"/>
      <dgm:spPr/>
    </dgm:pt>
    <dgm:pt modelId="{ECE7A3E0-EC1C-4566-B651-4451EC0DEF53}" type="pres">
      <dgm:prSet presAssocID="{D4ECF28D-CF27-471A-89A5-F491C4A71CDE}" presName="sibTrans" presStyleLbl="sibTrans1D1" presStyleIdx="2" presStyleCnt="6"/>
      <dgm:spPr/>
    </dgm:pt>
    <dgm:pt modelId="{65FF6794-D2D6-4762-A8B3-1AF81C17685D}" type="pres">
      <dgm:prSet presAssocID="{46CD832D-DE15-4055-B4A8-31DA792AD969}" presName="node" presStyleLbl="node1" presStyleIdx="3" presStyleCnt="6" custScaleX="269836" custRadScaleRad="100754" custRadScaleInc="-21001">
        <dgm:presLayoutVars>
          <dgm:bulletEnabled val="1"/>
        </dgm:presLayoutVars>
      </dgm:prSet>
      <dgm:spPr/>
    </dgm:pt>
    <dgm:pt modelId="{87070FD1-111F-4D61-944D-4D94662EFAB0}" type="pres">
      <dgm:prSet presAssocID="{46CD832D-DE15-4055-B4A8-31DA792AD969}" presName="spNode" presStyleCnt="0"/>
      <dgm:spPr/>
    </dgm:pt>
    <dgm:pt modelId="{ABAE0078-A9A6-446D-A9A9-6917855B503C}" type="pres">
      <dgm:prSet presAssocID="{69272531-04DB-4D69-B834-008663F65D5E}" presName="sibTrans" presStyleLbl="sibTrans1D1" presStyleIdx="3" presStyleCnt="6"/>
      <dgm:spPr/>
    </dgm:pt>
    <dgm:pt modelId="{2DFF3F9E-1D93-4AA6-9896-DDD6FE79D979}" type="pres">
      <dgm:prSet presAssocID="{A20E1A25-AF06-4B65-9707-511B32109E7C}" presName="node" presStyleLbl="node1" presStyleIdx="4" presStyleCnt="6" custScaleX="271520" custRadScaleRad="96935" custRadScaleInc="37517">
        <dgm:presLayoutVars>
          <dgm:bulletEnabled val="1"/>
        </dgm:presLayoutVars>
      </dgm:prSet>
      <dgm:spPr/>
    </dgm:pt>
    <dgm:pt modelId="{311C1E56-DCA6-43C3-89AA-79A3BCF49869}" type="pres">
      <dgm:prSet presAssocID="{A20E1A25-AF06-4B65-9707-511B32109E7C}" presName="spNode" presStyleCnt="0"/>
      <dgm:spPr/>
    </dgm:pt>
    <dgm:pt modelId="{2E89EC12-18FF-43C8-A9D6-A2051316B437}" type="pres">
      <dgm:prSet presAssocID="{A213D468-0542-4DC1-BBA0-4D35E8F1C2CD}" presName="sibTrans" presStyleLbl="sibTrans1D1" presStyleIdx="4" presStyleCnt="6"/>
      <dgm:spPr/>
    </dgm:pt>
    <dgm:pt modelId="{808E654B-7074-4004-BC98-BFC188FF84E4}" type="pres">
      <dgm:prSet presAssocID="{36F8F3CE-A921-4735-9F83-7D384214A545}" presName="node" presStyleLbl="node1" presStyleIdx="5" presStyleCnt="6" custScaleX="269836" custRadScaleRad="96913" custRadScaleInc="-48496">
        <dgm:presLayoutVars>
          <dgm:bulletEnabled val="1"/>
        </dgm:presLayoutVars>
      </dgm:prSet>
      <dgm:spPr/>
    </dgm:pt>
    <dgm:pt modelId="{8B54C213-5A03-4EA7-96EF-9B0615E3154A}" type="pres">
      <dgm:prSet presAssocID="{36F8F3CE-A921-4735-9F83-7D384214A545}" presName="spNode" presStyleCnt="0"/>
      <dgm:spPr/>
    </dgm:pt>
    <dgm:pt modelId="{7149BFF1-93EB-4F67-95A0-4845D2B44BFD}" type="pres">
      <dgm:prSet presAssocID="{ECE1BCF2-E42F-4A9D-B4D2-1B196235D224}" presName="sibTrans" presStyleLbl="sibTrans1D1" presStyleIdx="5" presStyleCnt="6"/>
      <dgm:spPr/>
    </dgm:pt>
  </dgm:ptLst>
  <dgm:cxnLst>
    <dgm:cxn modelId="{1279DF07-43A6-403F-8871-9EFE6BA8BB66}" type="presOf" srcId="{A20E1A25-AF06-4B65-9707-511B32109E7C}" destId="{2DFF3F9E-1D93-4AA6-9896-DDD6FE79D979}" srcOrd="0" destOrd="0" presId="urn:microsoft.com/office/officeart/2005/8/layout/cycle6"/>
    <dgm:cxn modelId="{816A7017-1A90-4115-8244-2F70869402FF}" srcId="{554AADCF-90BF-46E8-A30E-E86C1F0460DC}" destId="{A20E1A25-AF06-4B65-9707-511B32109E7C}" srcOrd="4" destOrd="0" parTransId="{6F76586B-BB4E-4FDA-9347-CCA9116C5C94}" sibTransId="{A213D468-0542-4DC1-BBA0-4D35E8F1C2CD}"/>
    <dgm:cxn modelId="{AB9AE517-B5C8-4B13-A91C-18714638018B}" type="presOf" srcId="{9CA7E7BE-C2F4-4BC3-8070-203C69630FAF}" destId="{42F37F9C-69C6-4BE9-8601-3A4355D807D7}" srcOrd="0" destOrd="0" presId="urn:microsoft.com/office/officeart/2005/8/layout/cycle6"/>
    <dgm:cxn modelId="{0094B818-B442-42AB-8E09-F5D6F2740075}" type="presOf" srcId="{36F8F3CE-A921-4735-9F83-7D384214A545}" destId="{808E654B-7074-4004-BC98-BFC188FF84E4}" srcOrd="0" destOrd="0" presId="urn:microsoft.com/office/officeart/2005/8/layout/cycle6"/>
    <dgm:cxn modelId="{C4898C23-9E5E-4D99-8988-917F95A2F71D}" srcId="{554AADCF-90BF-46E8-A30E-E86C1F0460DC}" destId="{36F8F3CE-A921-4735-9F83-7D384214A545}" srcOrd="5" destOrd="0" parTransId="{2A2BD10A-D939-46CB-9CAF-AEDD19B27558}" sibTransId="{ECE1BCF2-E42F-4A9D-B4D2-1B196235D224}"/>
    <dgm:cxn modelId="{2C829823-6844-4D01-9D8F-16834FA25176}" type="presOf" srcId="{D4ECF28D-CF27-471A-89A5-F491C4A71CDE}" destId="{ECE7A3E0-EC1C-4566-B651-4451EC0DEF53}" srcOrd="0" destOrd="0" presId="urn:microsoft.com/office/officeart/2005/8/layout/cycle6"/>
    <dgm:cxn modelId="{05B48C5B-3D83-4BE5-AE4A-7AD14A8E601A}" type="presOf" srcId="{752DAE4C-EF0F-4BBB-B666-BB2F905B651B}" destId="{C756577B-49A1-435B-B485-72856552E1C7}" srcOrd="0" destOrd="0" presId="urn:microsoft.com/office/officeart/2005/8/layout/cycle6"/>
    <dgm:cxn modelId="{626A2E44-175E-42DA-9731-220BDFA3CC14}" srcId="{554AADCF-90BF-46E8-A30E-E86C1F0460DC}" destId="{9CA7E7BE-C2F4-4BC3-8070-203C69630FAF}" srcOrd="1" destOrd="0" parTransId="{B13D63E7-7E4E-4411-A6C8-8DA32AC2B03F}" sibTransId="{2ADCE41C-67B8-40A6-BF72-0F3331BB23DF}"/>
    <dgm:cxn modelId="{F3C40473-FF3E-4119-99BA-30A7C55E6798}" type="presOf" srcId="{554AADCF-90BF-46E8-A30E-E86C1F0460DC}" destId="{A6AF3CDC-0E7D-48AD-AEA4-B51FDB8517A1}" srcOrd="0" destOrd="0" presId="urn:microsoft.com/office/officeart/2005/8/layout/cycle6"/>
    <dgm:cxn modelId="{C625107A-33BC-4666-87F5-F99F23A4F7E5}" type="presOf" srcId="{69272531-04DB-4D69-B834-008663F65D5E}" destId="{ABAE0078-A9A6-446D-A9A9-6917855B503C}" srcOrd="0" destOrd="0" presId="urn:microsoft.com/office/officeart/2005/8/layout/cycle6"/>
    <dgm:cxn modelId="{BDAD8380-D46B-45E3-8A9E-16DB1398BBA1}" type="presOf" srcId="{2ADCE41C-67B8-40A6-BF72-0F3331BB23DF}" destId="{F95A655E-387D-4062-AFC0-D5441859076B}" srcOrd="0" destOrd="0" presId="urn:microsoft.com/office/officeart/2005/8/layout/cycle6"/>
    <dgm:cxn modelId="{33577890-A2B9-4B2D-AF1F-ECB76833EBC4}" srcId="{554AADCF-90BF-46E8-A30E-E86C1F0460DC}" destId="{5BED07A5-F862-4D62-ABDA-4667919B0B30}" srcOrd="2" destOrd="0" parTransId="{59FAA153-8404-4919-9636-F8FCDD2D8F6D}" sibTransId="{D4ECF28D-CF27-471A-89A5-F491C4A71CDE}"/>
    <dgm:cxn modelId="{9C18F5A5-FD6C-4458-8BC0-4573A67B8FA2}" type="presOf" srcId="{A213D468-0542-4DC1-BBA0-4D35E8F1C2CD}" destId="{2E89EC12-18FF-43C8-A9D6-A2051316B437}" srcOrd="0" destOrd="0" presId="urn:microsoft.com/office/officeart/2005/8/layout/cycle6"/>
    <dgm:cxn modelId="{866447A6-F319-4906-8782-C6C3A4A238CA}" srcId="{554AADCF-90BF-46E8-A30E-E86C1F0460DC}" destId="{752DAE4C-EF0F-4BBB-B666-BB2F905B651B}" srcOrd="0" destOrd="0" parTransId="{65D84391-87F1-4E36-8AFB-6850C80D7926}" sibTransId="{46267A93-B9E2-46E9-A802-8AAB623DA257}"/>
    <dgm:cxn modelId="{1F73B0D2-1D06-4E68-8CCE-EBBD19E4553B}" type="presOf" srcId="{46267A93-B9E2-46E9-A802-8AAB623DA257}" destId="{D3C3761E-3E0C-4EEF-A911-9755E226577D}" srcOrd="0" destOrd="0" presId="urn:microsoft.com/office/officeart/2005/8/layout/cycle6"/>
    <dgm:cxn modelId="{E947ACDF-9571-467D-B64A-4C2FC04339A7}" type="presOf" srcId="{5BED07A5-F862-4D62-ABDA-4667919B0B30}" destId="{6C213E91-3FDF-4967-8CE9-AA7B82A2B2D1}" srcOrd="0" destOrd="0" presId="urn:microsoft.com/office/officeart/2005/8/layout/cycle6"/>
    <dgm:cxn modelId="{41F767E0-6D73-4897-A38F-4F2F11CCAC9D}" srcId="{554AADCF-90BF-46E8-A30E-E86C1F0460DC}" destId="{46CD832D-DE15-4055-B4A8-31DA792AD969}" srcOrd="3" destOrd="0" parTransId="{A6A90876-119F-4B27-B3F9-41A330A67FD2}" sibTransId="{69272531-04DB-4D69-B834-008663F65D5E}"/>
    <dgm:cxn modelId="{BADB38EB-0DF8-4BC5-A130-A4E18EAD1B2A}" type="presOf" srcId="{46CD832D-DE15-4055-B4A8-31DA792AD969}" destId="{65FF6794-D2D6-4762-A8B3-1AF81C17685D}" srcOrd="0" destOrd="0" presId="urn:microsoft.com/office/officeart/2005/8/layout/cycle6"/>
    <dgm:cxn modelId="{DE7361ED-046E-485C-8C70-1E8E28E1809B}" type="presOf" srcId="{ECE1BCF2-E42F-4A9D-B4D2-1B196235D224}" destId="{7149BFF1-93EB-4F67-95A0-4845D2B44BFD}" srcOrd="0" destOrd="0" presId="urn:microsoft.com/office/officeart/2005/8/layout/cycle6"/>
    <dgm:cxn modelId="{A74E271A-9558-46C5-9F47-9BEB71C3D6A3}" type="presParOf" srcId="{A6AF3CDC-0E7D-48AD-AEA4-B51FDB8517A1}" destId="{C756577B-49A1-435B-B485-72856552E1C7}" srcOrd="0" destOrd="0" presId="urn:microsoft.com/office/officeart/2005/8/layout/cycle6"/>
    <dgm:cxn modelId="{03A2B8C1-68B4-4B2F-BFB0-6EC0BC546985}" type="presParOf" srcId="{A6AF3CDC-0E7D-48AD-AEA4-B51FDB8517A1}" destId="{377F7DD2-CEEF-4CA8-9112-BAC8AA88D5EB}" srcOrd="1" destOrd="0" presId="urn:microsoft.com/office/officeart/2005/8/layout/cycle6"/>
    <dgm:cxn modelId="{DE9BECC0-E3BD-4BB8-81C0-CE8387DBB30E}" type="presParOf" srcId="{A6AF3CDC-0E7D-48AD-AEA4-B51FDB8517A1}" destId="{D3C3761E-3E0C-4EEF-A911-9755E226577D}" srcOrd="2" destOrd="0" presId="urn:microsoft.com/office/officeart/2005/8/layout/cycle6"/>
    <dgm:cxn modelId="{7660DE91-E5DF-4E0E-86A1-D34B6B91EA23}" type="presParOf" srcId="{A6AF3CDC-0E7D-48AD-AEA4-B51FDB8517A1}" destId="{42F37F9C-69C6-4BE9-8601-3A4355D807D7}" srcOrd="3" destOrd="0" presId="urn:microsoft.com/office/officeart/2005/8/layout/cycle6"/>
    <dgm:cxn modelId="{AB30E726-79AC-413E-AD7C-B476F18F6514}" type="presParOf" srcId="{A6AF3CDC-0E7D-48AD-AEA4-B51FDB8517A1}" destId="{1BC1A838-3BE5-4629-8C64-6CDE2CC6422D}" srcOrd="4" destOrd="0" presId="urn:microsoft.com/office/officeart/2005/8/layout/cycle6"/>
    <dgm:cxn modelId="{D47EC445-4BF1-4B59-B1C6-49FC05045696}" type="presParOf" srcId="{A6AF3CDC-0E7D-48AD-AEA4-B51FDB8517A1}" destId="{F95A655E-387D-4062-AFC0-D5441859076B}" srcOrd="5" destOrd="0" presId="urn:microsoft.com/office/officeart/2005/8/layout/cycle6"/>
    <dgm:cxn modelId="{EBE8B7F7-CCA4-4FDA-B371-E18377C784A1}" type="presParOf" srcId="{A6AF3CDC-0E7D-48AD-AEA4-B51FDB8517A1}" destId="{6C213E91-3FDF-4967-8CE9-AA7B82A2B2D1}" srcOrd="6" destOrd="0" presId="urn:microsoft.com/office/officeart/2005/8/layout/cycle6"/>
    <dgm:cxn modelId="{FD38FADD-36FD-41BB-8AAD-412956150D6D}" type="presParOf" srcId="{A6AF3CDC-0E7D-48AD-AEA4-B51FDB8517A1}" destId="{B2ACA7E8-37FD-42E6-AA0E-BA9D07952378}" srcOrd="7" destOrd="0" presId="urn:microsoft.com/office/officeart/2005/8/layout/cycle6"/>
    <dgm:cxn modelId="{F1D96C3E-77A9-4AA9-9F35-EEE2F02E8743}" type="presParOf" srcId="{A6AF3CDC-0E7D-48AD-AEA4-B51FDB8517A1}" destId="{ECE7A3E0-EC1C-4566-B651-4451EC0DEF53}" srcOrd="8" destOrd="0" presId="urn:microsoft.com/office/officeart/2005/8/layout/cycle6"/>
    <dgm:cxn modelId="{1D993331-B442-49FD-B198-7EE22602DF4A}" type="presParOf" srcId="{A6AF3CDC-0E7D-48AD-AEA4-B51FDB8517A1}" destId="{65FF6794-D2D6-4762-A8B3-1AF81C17685D}" srcOrd="9" destOrd="0" presId="urn:microsoft.com/office/officeart/2005/8/layout/cycle6"/>
    <dgm:cxn modelId="{A469F967-C6BE-40A8-B09E-16518DE325D2}" type="presParOf" srcId="{A6AF3CDC-0E7D-48AD-AEA4-B51FDB8517A1}" destId="{87070FD1-111F-4D61-944D-4D94662EFAB0}" srcOrd="10" destOrd="0" presId="urn:microsoft.com/office/officeart/2005/8/layout/cycle6"/>
    <dgm:cxn modelId="{1F1FAEB3-BEB9-4988-8A0A-DA6CBE3816CE}" type="presParOf" srcId="{A6AF3CDC-0E7D-48AD-AEA4-B51FDB8517A1}" destId="{ABAE0078-A9A6-446D-A9A9-6917855B503C}" srcOrd="11" destOrd="0" presId="urn:microsoft.com/office/officeart/2005/8/layout/cycle6"/>
    <dgm:cxn modelId="{55710A71-A418-47B8-B72D-9D0ADC594BAD}" type="presParOf" srcId="{A6AF3CDC-0E7D-48AD-AEA4-B51FDB8517A1}" destId="{2DFF3F9E-1D93-4AA6-9896-DDD6FE79D979}" srcOrd="12" destOrd="0" presId="urn:microsoft.com/office/officeart/2005/8/layout/cycle6"/>
    <dgm:cxn modelId="{BA3F16D7-612E-4AA4-9148-AA2DBF6EA064}" type="presParOf" srcId="{A6AF3CDC-0E7D-48AD-AEA4-B51FDB8517A1}" destId="{311C1E56-DCA6-43C3-89AA-79A3BCF49869}" srcOrd="13" destOrd="0" presId="urn:microsoft.com/office/officeart/2005/8/layout/cycle6"/>
    <dgm:cxn modelId="{06F91201-7462-41FD-B163-1F2BED0B8865}" type="presParOf" srcId="{A6AF3CDC-0E7D-48AD-AEA4-B51FDB8517A1}" destId="{2E89EC12-18FF-43C8-A9D6-A2051316B437}" srcOrd="14" destOrd="0" presId="urn:microsoft.com/office/officeart/2005/8/layout/cycle6"/>
    <dgm:cxn modelId="{058AABF9-F8BD-46FB-B339-999B7D5293D2}" type="presParOf" srcId="{A6AF3CDC-0E7D-48AD-AEA4-B51FDB8517A1}" destId="{808E654B-7074-4004-BC98-BFC188FF84E4}" srcOrd="15" destOrd="0" presId="urn:microsoft.com/office/officeart/2005/8/layout/cycle6"/>
    <dgm:cxn modelId="{FC1115AC-6118-43D8-8B17-030793758DB3}" type="presParOf" srcId="{A6AF3CDC-0E7D-48AD-AEA4-B51FDB8517A1}" destId="{8B54C213-5A03-4EA7-96EF-9B0615E3154A}" srcOrd="16" destOrd="0" presId="urn:microsoft.com/office/officeart/2005/8/layout/cycle6"/>
    <dgm:cxn modelId="{89539C10-41FA-4ADC-A4C1-9E5F70DB3CFD}" type="presParOf" srcId="{A6AF3CDC-0E7D-48AD-AEA4-B51FDB8517A1}" destId="{7149BFF1-93EB-4F67-95A0-4845D2B44BFD}" srcOrd="17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 xmlns:r="http://schemas.openxmlformats.org/officeDocument/2006/relationships">
  <dsp:spTree>
    <dsp:nvGrpSpPr>
      <dsp:cNvPr id="2" name="Grupo 1"/>
      <dsp:cNvGrpSpPr/>
    </dsp:nvGrpSpPr>
    <dsp:grpSpPr>
      <a:xfrm>
        <a:off x="0" y="0"/>
        <a:ext cx="5991225" cy="2238375"/>
        <a:chOff x="0" y="0"/>
        <a:chExt cx="5991225" cy="2238375"/>
      </a:xfrm>
    </dsp:grpSpPr>
    <dsp:sp modelId="{C756577B-49A1-435B-B485-72856552E1C7}">
      <dsp:nvSpPr>
        <dsp:cNvPr id="3" name="Retângulo arredondado 2"/>
        <dsp:cNvSpPr/>
      </dsp:nvSpPr>
      <dsp:spPr bwMode="white">
        <a:xfrm>
          <a:off x="2775316" y="94488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Diretoria</a:t>
          </a:r>
          <a:endParaRPr>
            <a:solidFill>
              <a:schemeClr val="dk1"/>
            </a:solidFill>
          </a:endParaRPr>
        </a:p>
      </dsp:txBody>
      <dsp:txXfrm>
        <a:off x="2775316" y="94488"/>
        <a:ext cx="603408" cy="392215"/>
      </dsp:txXfrm>
    </dsp:sp>
    <dsp:sp modelId="{D3C3761E-3E0C-4EEF-A911-9755E226577D}">
      <dsp:nvSpPr>
        <dsp:cNvPr id="4" name="Arco 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7691258"/>
            <a:gd name="adj2" fmla="val 19647574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42F37F9C-69C6-4BE9-8601-3A4355D807D7}">
      <dsp:nvSpPr>
        <dsp:cNvPr id="5" name="Retângulo arredondado 4"/>
        <dsp:cNvSpPr/>
      </dsp:nvSpPr>
      <dsp:spPr bwMode="white">
        <a:xfrm>
          <a:off x="3621352" y="62719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Design</a:t>
          </a:r>
          <a:endParaRPr>
            <a:solidFill>
              <a:schemeClr val="dk1"/>
            </a:solidFill>
          </a:endParaRPr>
        </a:p>
      </dsp:txBody>
      <dsp:txXfrm>
        <a:off x="3621352" y="627195"/>
        <a:ext cx="603408" cy="392215"/>
      </dsp:txXfrm>
    </dsp:sp>
    <dsp:sp modelId="{F95A655E-387D-4062-AFC0-D5441859076B}">
      <dsp:nvSpPr>
        <dsp:cNvPr id="6" name="Arco 5"/>
        <dsp:cNvSpPr/>
      </dsp:nvSpPr>
      <dsp:spPr bwMode="white">
        <a:xfrm>
          <a:off x="2075504" y="185982"/>
          <a:ext cx="1846160" cy="1846160"/>
        </a:xfrm>
        <a:prstGeom prst="arc">
          <a:avLst>
            <a:gd name="adj1" fmla="val 21274295"/>
            <a:gd name="adj2" fmla="val 527458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5504" y="185982"/>
        <a:ext cx="1846160" cy="1846160"/>
      </dsp:txXfrm>
    </dsp:sp>
    <dsp:sp modelId="{6C213E91-3FDF-4967-8CE9-AA7B82A2B2D1}">
      <dsp:nvSpPr>
        <dsp:cNvPr id="7" name="Retângulo arredondado 6"/>
        <dsp:cNvSpPr/>
      </dsp:nvSpPr>
      <dsp:spPr bwMode="white">
        <a:xfrm>
          <a:off x="3603000" y="1252446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Projetos</a:t>
          </a:r>
          <a:endParaRPr>
            <a:solidFill>
              <a:schemeClr val="dk1"/>
            </a:solidFill>
          </a:endParaRPr>
        </a:p>
      </dsp:txBody>
      <dsp:txXfrm>
        <a:off x="3603000" y="1252446"/>
        <a:ext cx="603408" cy="392215"/>
      </dsp:txXfrm>
    </dsp:sp>
    <dsp:sp modelId="{ECE7A3E0-EC1C-4566-B651-4451EC0DEF53}">
      <dsp:nvSpPr>
        <dsp:cNvPr id="8" name="Arco 7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2100934"/>
            <a:gd name="adj2" fmla="val 396390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65FF6794-D2D6-4762-A8B3-1AF81C17685D}">
      <dsp:nvSpPr>
        <dsp:cNvPr id="9" name="Retângulo arredondado 8"/>
        <dsp:cNvSpPr/>
      </dsp:nvSpPr>
      <dsp:spPr bwMode="white">
        <a:xfrm>
          <a:off x="2762026" y="1846160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45719" tIns="45719" rIns="45719" bIns="45719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200">
              <a:solidFill>
                <a:schemeClr val="dk1"/>
              </a:solidFill>
            </a:rPr>
            <a:t>SAC</a:t>
          </a:r>
          <a:endParaRPr lang="pt-BR" sz="1050">
            <a:solidFill>
              <a:schemeClr val="dk1"/>
            </a:solidFill>
          </a:endParaRPr>
        </a:p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700">
              <a:solidFill>
                <a:schemeClr val="dk1"/>
              </a:solidFill>
            </a:rPr>
            <a:t>(</a:t>
          </a:r>
          <a:r>
            <a:rPr lang="pt-BR" sz="900">
              <a:solidFill>
                <a:schemeClr val="dk1"/>
              </a:solidFill>
            </a:rPr>
            <a:t>Serviço de Apoio ao Cliente)</a:t>
          </a:r>
          <a:endParaRPr>
            <a:solidFill>
              <a:schemeClr val="dk1"/>
            </a:solidFill>
          </a:endParaRPr>
        </a:p>
      </dsp:txBody>
      <dsp:txXfrm>
        <a:off x="2762026" y="1846160"/>
        <a:ext cx="603408" cy="392215"/>
      </dsp:txXfrm>
    </dsp:sp>
    <dsp:sp modelId="{ABAE0078-A9A6-446D-A9A9-6917855B503C}">
      <dsp:nvSpPr>
        <dsp:cNvPr id="10" name="Arco 9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6303280"/>
            <a:gd name="adj2" fmla="val 863501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2DFF3F9E-1D93-4AA6-9896-DDD6FE79D979}">
      <dsp:nvSpPr>
        <dsp:cNvPr id="11" name="Retângulo arredondado 10"/>
        <dsp:cNvSpPr/>
      </dsp:nvSpPr>
      <dsp:spPr bwMode="white">
        <a:xfrm>
          <a:off x="1867212" y="1265451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Vendas</a:t>
          </a:r>
          <a:endParaRPr>
            <a:solidFill>
              <a:schemeClr val="dk1"/>
            </a:solidFill>
          </a:endParaRPr>
        </a:p>
      </dsp:txBody>
      <dsp:txXfrm>
        <a:off x="1867212" y="1265451"/>
        <a:ext cx="603408" cy="392215"/>
      </dsp:txXfrm>
    </dsp:sp>
    <dsp:sp modelId="{2E89EC12-18FF-43C8-A9D6-A2051316B437}">
      <dsp:nvSpPr>
        <dsp:cNvPr id="12" name="Arco 11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0262713"/>
            <a:gd name="adj2" fmla="val 1121691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808E654B-7074-4004-BC98-BFC188FF84E4}">
      <dsp:nvSpPr>
        <dsp:cNvPr id="13" name="Retângulo arredondado 12"/>
        <dsp:cNvSpPr/>
      </dsp:nvSpPr>
      <dsp:spPr bwMode="white">
        <a:xfrm>
          <a:off x="1854892" y="61270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Inovação</a:t>
          </a:r>
          <a:endParaRPr>
            <a:solidFill>
              <a:schemeClr val="dk1"/>
            </a:solidFill>
          </a:endParaRPr>
        </a:p>
      </dsp:txBody>
      <dsp:txXfrm>
        <a:off x="1854892" y="612705"/>
        <a:ext cx="603408" cy="392215"/>
      </dsp:txXfrm>
    </dsp:sp>
    <dsp:sp modelId="{7149BFF1-93EB-4F67-95A0-4845D2B44BFD}">
      <dsp:nvSpPr>
        <dsp:cNvPr id="14" name="Arco 1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2822370"/>
            <a:gd name="adj2" fmla="val 1534582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endSty" val="noArr"/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31648D-C3CC-481C-ABBB-85724BCE63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de São Paulo</Company>
  <Pages>9</Pages>
  <Words>1714</Words>
  <Characters>9261</Characters>
  <Lines>77</Lines>
  <Paragraphs>21</Paragraphs>
  <TotalTime>4</TotalTime>
  <ScaleCrop>false</ScaleCrop>
  <LinksUpToDate>false</LinksUpToDate>
  <CharactersWithSpaces>10954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2023-05-24T20:43:00Z</dcterms:created>
  <dc:creator>Mauro Cesar Bernardes</dc:creator>
  <cp:lastModifiedBy>Matheus Rebola</cp:lastModifiedBy>
  <cp:lastPrinted>2019-10-03T15:54:00Z</cp:lastPrinted>
  <dcterms:modified xsi:type="dcterms:W3CDTF">2023-06-07T13:12:32Z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1046-11.2.0.11537</vt:lpwstr>
  </property>
  <property fmtid="{D5CDD505-2E9C-101B-9397-08002B2CF9AE}" pid="3" name="ICV">
    <vt:lpwstr>DE0769057176439B9F9536AC90E730F5</vt:lpwstr>
  </property>
</Properties>
</file>