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sz w:val="24"/>
          <w:szCs w:val="24"/>
        </w:rPr>
        <w:t xml:space="preserve">Título: </w:t>
      </w:r>
      <w:r>
        <w:rPr>
          <w:b/>
          <w:bCs/>
          <w:sz w:val="24"/>
          <w:szCs w:val="24"/>
        </w:rPr>
        <w:t xml:space="preserve">Prototipagem de um Mecanismo Digital de Acompanhamento de Egressos: Rastreabilidade, Automação de Contato e Conformidade com a LGPD em Instância Própria de Plataforma Livre</w:t>
      </w:r>
    </w:p>
    <w:p>
      <w:pPr>
        <w:spacing w:after="220"/>
      </w:pPr>
      <w:r>
        <w:rPr>
          <w:b/>
          <w:bCs/>
          <w:sz w:val="22"/>
          <w:szCs w:val="22"/>
        </w:rPr>
        <w:t xml:space="preserve">Palavras-Chave: </w:t>
      </w:r>
      <w:r>
        <w:rPr>
          <w:sz w:val="22"/>
          <w:szCs w:val="22"/>
        </w:rPr>
        <w:t xml:space="preserve">Acompanhamento de Egressos; Automação de Coleta de Dados; Avaliação Institucional</w:t>
      </w:r>
    </w:p>
    <w:p>
      <w:pPr>
        <w:pStyle w:val="Heading1"/>
        <w:spacing w:after="160" w:before="280"/>
      </w:pPr>
      <w:r>
        <w:rPr>
          <w:b/>
          <w:bCs/>
          <w:color w:val="1F3864"/>
          <w:sz w:val="26"/>
          <w:szCs w:val="26"/>
        </w:rPr>
        <w:t xml:space="preserve">Resumo</w:t>
      </w:r>
    </w:p>
    <w:p>
      <w:pPr>
        <w:spacing w:after="160" w:line="276"/>
        <w:jc w:val="both"/>
      </w:pPr>
      <w:r>
        <w:rPr>
          <w:sz w:val="22"/>
          <w:szCs w:val="22"/>
        </w:rPr>
        <w:t xml:space="preserve">Este projeto propõe desenvolver e validar um mecanismo digital de acompanhamento de egressos, implantado em instância própria da plataforma livre LimeSurvey, como prova de conceito replicável por instituições de ensino que enfrentem restrições orçamentárias e operacionais semelhantes. O problema central abordado é reiteradamente descrito na literatura da área: instrumentos de coleta de acesso aberto, sem identificação do respondente e sem mecanismos sistemáticos de convite e cobrança, produzem baixas taxas de resposta, amostras enviesadas e dados que se tornam rapidamente obsoletos, comprometendo o uso das informações na avaliação institucional e na retroalimentação curricular. Para enfrentar esse problema, a pesquisa implementará um conjunto de recursos técnicos sobre a instância desenvolvida: acesso rastreável por token com identificação dos participantes não respondentes, pré-preenchimento de atributos acadêmicos, estruturação da lógica condicional de navegação, automação do envio de convites e lembretes por rotinas agendadas, incorporação de consentimento eletrônico e controles de conformidade com a Lei Geral de Proteção de Dados e, condicionalmente, painel de visualização dos resultados. Compõe ainda o escopo a investigação bibliográfica das estratégias de engajamento de respondentes relatadas por outras instituições, cujas recomendações serão sistematizadas e refletidas na configuração do mecanismo. A validação ocorrerá por simulação controlada sobre base de participantes integralmente sintética, sem tratamento de dados pessoais de pessoas reais em nenhuma etapa. Espera-se, como resultado, um mecanismo funcional e documentado, um guia de replicação, a sistematização das estratégias de engajamento identificadas na literatura e um relatório científico sobre a experiência.</w:t>
      </w:r>
    </w:p>
    <w:p>
      <w:pPr>
        <w:pStyle w:val="Heading1"/>
        <w:spacing w:after="160" w:before="280"/>
      </w:pPr>
      <w:r>
        <w:rPr>
          <w:b/>
          <w:bCs/>
          <w:color w:val="1F3864"/>
          <w:sz w:val="26"/>
          <w:szCs w:val="26"/>
        </w:rPr>
        <w:t xml:space="preserve">Metas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rPr>
          <w:tblHeader/>
        </w:trPr>
        <w:tc>
          <w:tcPr>
            <w:tcW w:type="dxa" w:w="900"/>
            <w:shd w:fill="DEE5F0" w:val="clear"/>
            <w:tcMar>
              <w:top w:type="dxa" w:w="60"/>
              <w:left w:type="dxa" w:w="90"/>
              <w:bottom w:type="dxa" w:w="60"/>
              <w:right w:type="dxa" w:w="90"/>
            </w:tcMar>
          </w:tcPr>
          <w:p>
            <w:pPr>
              <w:spacing w:after="0"/>
              <w:jc w:val="center"/>
            </w:pPr>
            <w:r>
              <w:rPr>
                <w:b/>
                <w:bCs/>
                <w:sz w:val="20"/>
                <w:szCs w:val="20"/>
              </w:rPr>
              <w:t xml:space="preserve">Meta</w:t>
            </w:r>
          </w:p>
        </w:tc>
        <w:tc>
          <w:tcPr>
            <w:tcW w:type="dxa" w:w="8100"/>
            <w:shd w:fill="DEE5F0" w:val="clear"/>
            <w:tcMar>
              <w:top w:type="dxa" w:w="60"/>
              <w:left w:type="dxa" w:w="90"/>
              <w:bottom w:type="dxa" w:w="60"/>
              <w:right w:type="dxa" w:w="90"/>
            </w:tcMar>
          </w:tcPr>
          <w:p>
            <w:pPr>
              <w:spacing w:after="0"/>
              <w:jc w:val="left"/>
            </w:pPr>
            <w:r>
              <w:rPr>
                <w:b/>
                <w:bCs/>
                <w:sz w:val="20"/>
                <w:szCs w:val="20"/>
              </w:rPr>
              <w:t xml:space="preserve">Descrição</w:t>
            </w:r>
          </w:p>
        </w:tc>
      </w:tr>
      <w:tr>
        <w:tc>
          <w:tcPr>
            <w:tcW w:type="dxa" w:w="900"/>
            <w:tcMar>
              <w:top w:type="dxa" w:w="60"/>
              <w:left w:type="dxa" w:w="90"/>
              <w:bottom w:type="dxa" w:w="60"/>
              <w:right w:type="dxa" w:w="90"/>
            </w:tcMar>
          </w:tcPr>
          <w:p>
            <w:pPr>
              <w:spacing w:after="0"/>
              <w:jc w:val="center"/>
            </w:pPr>
            <w:r>
              <w:rPr>
                <w:sz w:val="20"/>
                <w:szCs w:val="20"/>
              </w:rPr>
              <w:t xml:space="preserve">1</w:t>
            </w:r>
          </w:p>
        </w:tc>
        <w:tc>
          <w:tcPr>
            <w:tcW w:type="dxa" w:w="8100"/>
            <w:tcMar>
              <w:top w:type="dxa" w:w="60"/>
              <w:left w:type="dxa" w:w="90"/>
              <w:bottom w:type="dxa" w:w="60"/>
              <w:right w:type="dxa" w:w="90"/>
            </w:tcMar>
          </w:tcPr>
          <w:p>
            <w:pPr>
              <w:spacing w:after="0"/>
              <w:jc w:val="left"/>
            </w:pPr>
            <w:r>
              <w:rPr>
                <w:sz w:val="20"/>
                <w:szCs w:val="20"/>
              </w:rPr>
              <w:t xml:space="preserve">Levantamento bibliográfico sobre mecanismos de acompanhamento de egressos e estratégias de engajamento de respondentes</w:t>
            </w:r>
          </w:p>
        </w:tc>
      </w:tr>
      <w:tr>
        <w:tc>
          <w:tcPr>
            <w:tcW w:type="dxa" w:w="900"/>
            <w:tcMar>
              <w:top w:type="dxa" w:w="60"/>
              <w:left w:type="dxa" w:w="90"/>
              <w:bottom w:type="dxa" w:w="60"/>
              <w:right w:type="dxa" w:w="90"/>
            </w:tcMar>
          </w:tcPr>
          <w:p>
            <w:pPr>
              <w:spacing w:after="0"/>
              <w:jc w:val="center"/>
            </w:pPr>
            <w:r>
              <w:rPr>
                <w:sz w:val="20"/>
                <w:szCs w:val="20"/>
              </w:rPr>
              <w:t xml:space="preserve">2</w:t>
            </w:r>
          </w:p>
        </w:tc>
        <w:tc>
          <w:tcPr>
            <w:tcW w:type="dxa" w:w="8100"/>
            <w:tcMar>
              <w:top w:type="dxa" w:w="60"/>
              <w:left w:type="dxa" w:w="90"/>
              <w:bottom w:type="dxa" w:w="60"/>
              <w:right w:type="dxa" w:w="90"/>
            </w:tcMar>
          </w:tcPr>
          <w:p>
            <w:pPr>
              <w:spacing w:after="0"/>
              <w:jc w:val="left"/>
            </w:pPr>
            <w:r>
              <w:rPr>
                <w:sz w:val="20"/>
                <w:szCs w:val="20"/>
              </w:rPr>
              <w:t xml:space="preserve">Implantação de instância própria da plataforma LimeSurvey em infraestrutura de custo praticamente nulo</w:t>
            </w:r>
          </w:p>
        </w:tc>
      </w:tr>
      <w:tr>
        <w:tc>
          <w:tcPr>
            <w:tcW w:type="dxa" w:w="900"/>
            <w:tcMar>
              <w:top w:type="dxa" w:w="60"/>
              <w:left w:type="dxa" w:w="90"/>
              <w:bottom w:type="dxa" w:w="60"/>
              <w:right w:type="dxa" w:w="90"/>
            </w:tcMar>
          </w:tcPr>
          <w:p>
            <w:pPr>
              <w:spacing w:after="0"/>
              <w:jc w:val="center"/>
            </w:pPr>
            <w:r>
              <w:rPr>
                <w:sz w:val="20"/>
                <w:szCs w:val="20"/>
              </w:rPr>
              <w:t xml:space="preserve">3</w:t>
            </w:r>
          </w:p>
        </w:tc>
        <w:tc>
          <w:tcPr>
            <w:tcW w:type="dxa" w:w="8100"/>
            <w:tcMar>
              <w:top w:type="dxa" w:w="60"/>
              <w:left w:type="dxa" w:w="90"/>
              <w:bottom w:type="dxa" w:w="60"/>
              <w:right w:type="dxa" w:w="90"/>
            </w:tcMar>
          </w:tcPr>
          <w:p>
            <w:pPr>
              <w:spacing w:after="0"/>
              <w:jc w:val="left"/>
            </w:pPr>
            <w:r>
              <w:rPr>
                <w:sz w:val="20"/>
                <w:szCs w:val="20"/>
              </w:rPr>
              <w:t xml:space="preserve">Modelagem da estrutura de dados e dos campos do instrumento de coleta</w:t>
            </w:r>
          </w:p>
        </w:tc>
      </w:tr>
      <w:tr>
        <w:tc>
          <w:tcPr>
            <w:tcW w:type="dxa" w:w="900"/>
            <w:tcMar>
              <w:top w:type="dxa" w:w="60"/>
              <w:left w:type="dxa" w:w="90"/>
              <w:bottom w:type="dxa" w:w="60"/>
              <w:right w:type="dxa" w:w="90"/>
            </w:tcMar>
          </w:tcPr>
          <w:p>
            <w:pPr>
              <w:spacing w:after="0"/>
              <w:jc w:val="center"/>
            </w:pPr>
            <w:r>
              <w:rPr>
                <w:sz w:val="20"/>
                <w:szCs w:val="20"/>
              </w:rPr>
              <w:t xml:space="preserve">4</w:t>
            </w:r>
          </w:p>
        </w:tc>
        <w:tc>
          <w:tcPr>
            <w:tcW w:type="dxa" w:w="8100"/>
            <w:tcMar>
              <w:top w:type="dxa" w:w="60"/>
              <w:left w:type="dxa" w:w="90"/>
              <w:bottom w:type="dxa" w:w="60"/>
              <w:right w:type="dxa" w:w="90"/>
            </w:tcMar>
          </w:tcPr>
          <w:p>
            <w:pPr>
              <w:spacing w:after="0"/>
              <w:jc w:val="left"/>
            </w:pPr>
            <w:r>
              <w:rPr>
                <w:sz w:val="20"/>
                <w:szCs w:val="20"/>
              </w:rPr>
              <w:t xml:space="preserve">Geração de base sintética de participantes para fins de validação</w:t>
            </w:r>
          </w:p>
        </w:tc>
      </w:tr>
      <w:tr>
        <w:tc>
          <w:tcPr>
            <w:tcW w:type="dxa" w:w="900"/>
            <w:tcMar>
              <w:top w:type="dxa" w:w="60"/>
              <w:left w:type="dxa" w:w="90"/>
              <w:bottom w:type="dxa" w:w="60"/>
              <w:right w:type="dxa" w:w="90"/>
            </w:tcMar>
          </w:tcPr>
          <w:p>
            <w:pPr>
              <w:spacing w:after="0"/>
              <w:jc w:val="center"/>
            </w:pPr>
            <w:r>
              <w:rPr>
                <w:sz w:val="20"/>
                <w:szCs w:val="20"/>
              </w:rPr>
              <w:t xml:space="preserve">5</w:t>
            </w:r>
          </w:p>
        </w:tc>
        <w:tc>
          <w:tcPr>
            <w:tcW w:type="dxa" w:w="8100"/>
            <w:tcMar>
              <w:top w:type="dxa" w:w="60"/>
              <w:left w:type="dxa" w:w="90"/>
              <w:bottom w:type="dxa" w:w="60"/>
              <w:right w:type="dxa" w:w="90"/>
            </w:tcMar>
          </w:tcPr>
          <w:p>
            <w:pPr>
              <w:spacing w:after="0"/>
              <w:jc w:val="left"/>
            </w:pPr>
            <w:r>
              <w:rPr>
                <w:sz w:val="20"/>
                <w:szCs w:val="20"/>
              </w:rPr>
              <w:t xml:space="preserve">Implementação do acesso rastreável por token e do pré-preenchimento de atributos</w:t>
            </w:r>
          </w:p>
        </w:tc>
      </w:tr>
      <w:tr>
        <w:tc>
          <w:tcPr>
            <w:tcW w:type="dxa" w:w="900"/>
            <w:tcMar>
              <w:top w:type="dxa" w:w="60"/>
              <w:left w:type="dxa" w:w="90"/>
              <w:bottom w:type="dxa" w:w="60"/>
              <w:right w:type="dxa" w:w="90"/>
            </w:tcMar>
          </w:tcPr>
          <w:p>
            <w:pPr>
              <w:spacing w:after="0"/>
              <w:jc w:val="center"/>
            </w:pPr>
            <w:r>
              <w:rPr>
                <w:sz w:val="20"/>
                <w:szCs w:val="20"/>
              </w:rPr>
              <w:t xml:space="preserve">6</w:t>
            </w:r>
          </w:p>
        </w:tc>
        <w:tc>
          <w:tcPr>
            <w:tcW w:type="dxa" w:w="8100"/>
            <w:tcMar>
              <w:top w:type="dxa" w:w="60"/>
              <w:left w:type="dxa" w:w="90"/>
              <w:bottom w:type="dxa" w:w="60"/>
              <w:right w:type="dxa" w:w="90"/>
            </w:tcMar>
          </w:tcPr>
          <w:p>
            <w:pPr>
              <w:spacing w:after="0"/>
              <w:jc w:val="left"/>
            </w:pPr>
            <w:r>
              <w:rPr>
                <w:sz w:val="20"/>
                <w:szCs w:val="20"/>
              </w:rPr>
              <w:t xml:space="preserve">Implementação da automação de convites e lembretes (agendamento por cron)</w:t>
            </w:r>
          </w:p>
        </w:tc>
      </w:tr>
      <w:tr>
        <w:tc>
          <w:tcPr>
            <w:tcW w:type="dxa" w:w="900"/>
            <w:tcMar>
              <w:top w:type="dxa" w:w="60"/>
              <w:left w:type="dxa" w:w="90"/>
              <w:bottom w:type="dxa" w:w="60"/>
              <w:right w:type="dxa" w:w="90"/>
            </w:tcMar>
          </w:tcPr>
          <w:p>
            <w:pPr>
              <w:spacing w:after="0"/>
              <w:jc w:val="center"/>
            </w:pPr>
            <w:r>
              <w:rPr>
                <w:sz w:val="20"/>
                <w:szCs w:val="20"/>
              </w:rPr>
              <w:t xml:space="preserve">7</w:t>
            </w:r>
          </w:p>
        </w:tc>
        <w:tc>
          <w:tcPr>
            <w:tcW w:type="dxa" w:w="8100"/>
            <w:tcMar>
              <w:top w:type="dxa" w:w="60"/>
              <w:left w:type="dxa" w:w="90"/>
              <w:bottom w:type="dxa" w:w="60"/>
              <w:right w:type="dxa" w:w="90"/>
            </w:tcMar>
          </w:tcPr>
          <w:p>
            <w:pPr>
              <w:spacing w:after="0"/>
              <w:jc w:val="left"/>
            </w:pPr>
            <w:r>
              <w:rPr>
                <w:sz w:val="20"/>
                <w:szCs w:val="20"/>
              </w:rPr>
              <w:t xml:space="preserve">Implementação dos controles de conformidade com a LGPD (consentimento eletrônico, anonimização e trilha de auditoria)</w:t>
            </w:r>
          </w:p>
        </w:tc>
      </w:tr>
      <w:tr>
        <w:tc>
          <w:tcPr>
            <w:tcW w:type="dxa" w:w="900"/>
            <w:tcMar>
              <w:top w:type="dxa" w:w="60"/>
              <w:left w:type="dxa" w:w="90"/>
              <w:bottom w:type="dxa" w:w="60"/>
              <w:right w:type="dxa" w:w="90"/>
            </w:tcMar>
          </w:tcPr>
          <w:p>
            <w:pPr>
              <w:spacing w:after="0"/>
              <w:jc w:val="center"/>
            </w:pPr>
            <w:r>
              <w:rPr>
                <w:sz w:val="20"/>
                <w:szCs w:val="20"/>
              </w:rPr>
              <w:t xml:space="preserve">8</w:t>
            </w:r>
          </w:p>
        </w:tc>
        <w:tc>
          <w:tcPr>
            <w:tcW w:type="dxa" w:w="8100"/>
            <w:tcMar>
              <w:top w:type="dxa" w:w="60"/>
              <w:left w:type="dxa" w:w="90"/>
              <w:bottom w:type="dxa" w:w="60"/>
              <w:right w:type="dxa" w:w="90"/>
            </w:tcMar>
          </w:tcPr>
          <w:p>
            <w:pPr>
              <w:spacing w:after="0"/>
              <w:jc w:val="left"/>
            </w:pPr>
            <w:r>
              <w:rPr>
                <w:sz w:val="20"/>
                <w:szCs w:val="20"/>
              </w:rPr>
              <w:t xml:space="preserve">Validação técnica por simulação controlada e ajustes do mecanismo</w:t>
            </w:r>
          </w:p>
        </w:tc>
      </w:tr>
      <w:tr>
        <w:tc>
          <w:tcPr>
            <w:tcW w:type="dxa" w:w="900"/>
            <w:tcMar>
              <w:top w:type="dxa" w:w="60"/>
              <w:left w:type="dxa" w:w="90"/>
              <w:bottom w:type="dxa" w:w="60"/>
              <w:right w:type="dxa" w:w="90"/>
            </w:tcMar>
          </w:tcPr>
          <w:p>
            <w:pPr>
              <w:spacing w:after="0"/>
              <w:jc w:val="center"/>
            </w:pPr>
            <w:r>
              <w:rPr>
                <w:sz w:val="20"/>
                <w:szCs w:val="20"/>
              </w:rPr>
              <w:t xml:space="preserve">9</w:t>
            </w:r>
          </w:p>
        </w:tc>
        <w:tc>
          <w:tcPr>
            <w:tcW w:type="dxa" w:w="8100"/>
            <w:tcMar>
              <w:top w:type="dxa" w:w="60"/>
              <w:left w:type="dxa" w:w="90"/>
              <w:bottom w:type="dxa" w:w="60"/>
              <w:right w:type="dxa" w:w="90"/>
            </w:tcMar>
          </w:tcPr>
          <w:p>
            <w:pPr>
              <w:spacing w:after="0"/>
              <w:jc w:val="left"/>
            </w:pPr>
            <w:r>
              <w:rPr>
                <w:sz w:val="20"/>
                <w:szCs w:val="20"/>
              </w:rPr>
              <w:t xml:space="preserve">Implementação de painel de visualização de resultados (meta condicional)</w:t>
            </w:r>
          </w:p>
        </w:tc>
      </w:tr>
      <w:tr>
        <w:tc>
          <w:tcPr>
            <w:tcW w:type="dxa" w:w="900"/>
            <w:tcMar>
              <w:top w:type="dxa" w:w="60"/>
              <w:left w:type="dxa" w:w="90"/>
              <w:bottom w:type="dxa" w:w="60"/>
              <w:right w:type="dxa" w:w="90"/>
            </w:tcMar>
          </w:tcPr>
          <w:p>
            <w:pPr>
              <w:spacing w:after="0"/>
              <w:jc w:val="center"/>
            </w:pPr>
            <w:r>
              <w:rPr>
                <w:sz w:val="20"/>
                <w:szCs w:val="20"/>
              </w:rPr>
              <w:t xml:space="preserve">10</w:t>
            </w:r>
          </w:p>
        </w:tc>
        <w:tc>
          <w:tcPr>
            <w:tcW w:type="dxa" w:w="8100"/>
            <w:tcMar>
              <w:top w:type="dxa" w:w="60"/>
              <w:left w:type="dxa" w:w="90"/>
              <w:bottom w:type="dxa" w:w="60"/>
              <w:right w:type="dxa" w:w="90"/>
            </w:tcMar>
          </w:tcPr>
          <w:p>
            <w:pPr>
              <w:spacing w:after="0"/>
              <w:jc w:val="left"/>
            </w:pPr>
            <w:r>
              <w:rPr>
                <w:sz w:val="20"/>
                <w:szCs w:val="20"/>
              </w:rPr>
              <w:t xml:space="preserve">Documentação técnica, guia de replicação e redação do relatório final</w:t>
            </w:r>
          </w:p>
        </w:tc>
      </w:tr>
    </w:tbl>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520"/>
        <w:gridCol w:w="1520"/>
        <w:gridCol w:w="1520"/>
        <w:gridCol w:w="1520"/>
        <w:gridCol w:w="1520"/>
      </w:tblGrid>
      <w:tr>
        <w:trPr>
          <w:tblHeader/>
        </w:trPr>
        <w:tc>
          <w:tcPr>
            <w:tcW w:type="dxa" w:w="1400"/>
            <w:shd w:fill="DEE5F0" w:val="clear"/>
            <w:tcMar>
              <w:top w:type="dxa" w:w="60"/>
              <w:left w:type="dxa" w:w="90"/>
              <w:bottom w:type="dxa" w:w="60"/>
              <w:right w:type="dxa" w:w="90"/>
            </w:tcMar>
          </w:tcPr>
          <w:p>
            <w:pPr>
              <w:spacing w:after="0"/>
              <w:jc w:val="center"/>
            </w:pPr>
            <w:r>
              <w:rPr>
                <w:b/>
                <w:bCs/>
                <w:sz w:val="20"/>
                <w:szCs w:val="20"/>
              </w:rPr>
              <w:t xml:space="preserve">Metas</w:t>
            </w:r>
          </w:p>
        </w:tc>
        <w:tc>
          <w:tcPr>
            <w:tcW w:type="dxa" w:w="1520"/>
            <w:shd w:fill="DEE5F0" w:val="clear"/>
            <w:tcMar>
              <w:top w:type="dxa" w:w="60"/>
              <w:left w:type="dxa" w:w="90"/>
              <w:bottom w:type="dxa" w:w="60"/>
              <w:right w:type="dxa" w:w="90"/>
            </w:tcMar>
          </w:tcPr>
          <w:p>
            <w:pPr>
              <w:spacing w:after="0"/>
              <w:jc w:val="center"/>
            </w:pPr>
            <w:r>
              <w:rPr>
                <w:b/>
                <w:bCs/>
                <w:sz w:val="20"/>
                <w:szCs w:val="20"/>
              </w:rPr>
              <w:t xml:space="preserve">AGO/26</w:t>
            </w:r>
          </w:p>
        </w:tc>
        <w:tc>
          <w:tcPr>
            <w:tcW w:type="dxa" w:w="1520"/>
            <w:shd w:fill="DEE5F0" w:val="clear"/>
            <w:tcMar>
              <w:top w:type="dxa" w:w="60"/>
              <w:left w:type="dxa" w:w="90"/>
              <w:bottom w:type="dxa" w:w="60"/>
              <w:right w:type="dxa" w:w="90"/>
            </w:tcMar>
          </w:tcPr>
          <w:p>
            <w:pPr>
              <w:spacing w:after="0"/>
              <w:jc w:val="center"/>
            </w:pPr>
            <w:r>
              <w:rPr>
                <w:b/>
                <w:bCs/>
                <w:sz w:val="20"/>
                <w:szCs w:val="20"/>
              </w:rPr>
              <w:t xml:space="preserve">SET/26</w:t>
            </w:r>
          </w:p>
        </w:tc>
        <w:tc>
          <w:tcPr>
            <w:tcW w:type="dxa" w:w="1520"/>
            <w:shd w:fill="DEE5F0" w:val="clear"/>
            <w:tcMar>
              <w:top w:type="dxa" w:w="60"/>
              <w:left w:type="dxa" w:w="90"/>
              <w:bottom w:type="dxa" w:w="60"/>
              <w:right w:type="dxa" w:w="90"/>
            </w:tcMar>
          </w:tcPr>
          <w:p>
            <w:pPr>
              <w:spacing w:after="0"/>
              <w:jc w:val="center"/>
            </w:pPr>
            <w:r>
              <w:rPr>
                <w:b/>
                <w:bCs/>
                <w:sz w:val="20"/>
                <w:szCs w:val="20"/>
              </w:rPr>
              <w:t xml:space="preserve">OUT/26</w:t>
            </w:r>
          </w:p>
        </w:tc>
        <w:tc>
          <w:tcPr>
            <w:tcW w:type="dxa" w:w="1520"/>
            <w:shd w:fill="DEE5F0" w:val="clear"/>
            <w:tcMar>
              <w:top w:type="dxa" w:w="60"/>
              <w:left w:type="dxa" w:w="90"/>
              <w:bottom w:type="dxa" w:w="60"/>
              <w:right w:type="dxa" w:w="90"/>
            </w:tcMar>
          </w:tcPr>
          <w:p>
            <w:pPr>
              <w:spacing w:after="0"/>
              <w:jc w:val="center"/>
            </w:pPr>
            <w:r>
              <w:rPr>
                <w:b/>
                <w:bCs/>
                <w:sz w:val="20"/>
                <w:szCs w:val="20"/>
              </w:rPr>
              <w:t xml:space="preserve">NOV/26</w:t>
            </w:r>
          </w:p>
        </w:tc>
        <w:tc>
          <w:tcPr>
            <w:tcW w:type="dxa" w:w="1520"/>
            <w:shd w:fill="DEE5F0" w:val="clear"/>
            <w:tcMar>
              <w:top w:type="dxa" w:w="60"/>
              <w:left w:type="dxa" w:w="90"/>
              <w:bottom w:type="dxa" w:w="60"/>
              <w:right w:type="dxa" w:w="90"/>
            </w:tcMar>
          </w:tcPr>
          <w:p>
            <w:pPr>
              <w:spacing w:after="0"/>
              <w:jc w:val="center"/>
            </w:pPr>
            <w:r>
              <w:rPr>
                <w:b/>
                <w:bCs/>
                <w:sz w:val="20"/>
                <w:szCs w:val="20"/>
              </w:rPr>
              <w:t xml:space="preserve">DEZ/26</w:t>
            </w:r>
          </w:p>
        </w:tc>
      </w:tr>
      <w:tr>
        <w:tc>
          <w:tcPr>
            <w:tcW w:type="dxa" w:w="1400"/>
            <w:tcMar>
              <w:top w:type="dxa" w:w="60"/>
              <w:left w:type="dxa" w:w="90"/>
              <w:bottom w:type="dxa" w:w="60"/>
              <w:right w:type="dxa" w:w="90"/>
            </w:tcMar>
          </w:tcPr>
          <w:p>
            <w:pPr>
              <w:spacing w:after="0"/>
              <w:jc w:val="center"/>
            </w:pPr>
            <w:r>
              <w:rPr>
                <w:sz w:val="20"/>
                <w:szCs w:val="20"/>
              </w:rPr>
              <w:t xml:space="preserve">1</w:t>
            </w:r>
          </w:p>
        </w:tc>
        <w:tc>
          <w:tcPr>
            <w:tcW w:type="dxa" w:w="1520"/>
            <w:tcMar>
              <w:top w:type="dxa" w:w="60"/>
              <w:left w:type="dxa" w:w="90"/>
              <w:bottom w:type="dxa" w:w="60"/>
              <w:right w:type="dxa" w:w="90"/>
            </w:tcMar>
          </w:tcPr>
          <w:p>
            <w:pPr>
              <w:spacing w:after="0"/>
              <w:jc w:val="center"/>
            </w:pPr>
            <w:r>
              <w:rPr>
                <w:sz w:val="20"/>
                <w:szCs w:val="20"/>
              </w:rPr>
              <w:t xml:space="preserve">X</w:t>
            </w:r>
          </w:p>
        </w:tc>
        <w:tc>
          <w:tcPr>
            <w:tcW w:type="dxa" w:w="1520"/>
            <w:tcMar>
              <w:top w:type="dxa" w:w="60"/>
              <w:left w:type="dxa" w:w="90"/>
              <w:bottom w:type="dxa" w:w="60"/>
              <w:right w:type="dxa" w:w="90"/>
            </w:tcMar>
          </w:tcPr>
          <w:p>
            <w:pPr>
              <w:spacing w:after="0"/>
              <w:jc w:val="center"/>
            </w:pPr>
            <w:r>
              <w:rPr>
                <w:sz w:val="20"/>
                <w:szCs w:val="20"/>
              </w:rPr>
              <w:t xml:space="preserve">X</w:t>
            </w:r>
          </w:p>
        </w:tc>
        <w:tc>
          <w:tcPr>
            <w:tcW w:type="dxa" w:w="1520"/>
            <w:tcMar>
              <w:top w:type="dxa" w:w="60"/>
              <w:left w:type="dxa" w:w="90"/>
              <w:bottom w:type="dxa" w:w="60"/>
              <w:right w:type="dxa" w:w="90"/>
            </w:tcMar>
          </w:tcPr>
          <w:p>
            <w:pPr>
              <w:spacing w:after="0"/>
              <w:jc w:val="center"/>
            </w:pPr>
            <w:r>
              <w:rPr>
                <w:sz w:val="20"/>
                <w:szCs w:val="20"/>
              </w:rPr>
              <w:t xml:space="preserve"/>
            </w:r>
          </w:p>
        </w:tc>
        <w:tc>
          <w:tcPr>
            <w:tcW w:type="dxa" w:w="1520"/>
            <w:tcMar>
              <w:top w:type="dxa" w:w="60"/>
              <w:left w:type="dxa" w:w="90"/>
              <w:bottom w:type="dxa" w:w="60"/>
              <w:right w:type="dxa" w:w="90"/>
            </w:tcMar>
          </w:tcPr>
          <w:p>
            <w:pPr>
              <w:spacing w:after="0"/>
              <w:jc w:val="center"/>
            </w:pPr>
            <w:r>
              <w:rPr>
                <w:sz w:val="20"/>
                <w:szCs w:val="20"/>
              </w:rPr>
              <w:t xml:space="preserve"/>
            </w:r>
          </w:p>
        </w:tc>
        <w:tc>
          <w:tcPr>
            <w:tcW w:type="dxa" w:w="1520"/>
            <w:tcMar>
              <w:top w:type="dxa" w:w="60"/>
              <w:left w:type="dxa" w:w="90"/>
              <w:bottom w:type="dxa" w:w="60"/>
              <w:right w:type="dxa" w:w="90"/>
            </w:tcMar>
          </w:tcPr>
          <w:p>
            <w:pPr>
              <w:spacing w:after="0"/>
              <w:jc w:val="center"/>
            </w:pPr>
            <w:r>
              <w:rPr>
                <w:sz w:val="20"/>
                <w:szCs w:val="20"/>
              </w:rPr>
              <w:t xml:space="preserve"/>
            </w:r>
          </w:p>
        </w:tc>
      </w:tr>
      <w:tr>
        <w:tc>
          <w:tcPr>
            <w:tcW w:type="dxa" w:w="1400"/>
            <w:tcMar>
              <w:top w:type="dxa" w:w="60"/>
              <w:left w:type="dxa" w:w="90"/>
              <w:bottom w:type="dxa" w:w="60"/>
              <w:right w:type="dxa" w:w="90"/>
            </w:tcMar>
          </w:tcPr>
          <w:p>
            <w:pPr>
              <w:spacing w:after="0"/>
              <w:jc w:val="center"/>
            </w:pPr>
            <w:r>
              <w:rPr>
                <w:sz w:val="20"/>
                <w:szCs w:val="20"/>
              </w:rPr>
              <w:t xml:space="preserve">2</w:t>
            </w:r>
          </w:p>
        </w:tc>
        <w:tc>
          <w:tcPr>
            <w:tcW w:type="dxa" w:w="1520"/>
            <w:tcMar>
              <w:top w:type="dxa" w:w="60"/>
              <w:left w:type="dxa" w:w="90"/>
              <w:bottom w:type="dxa" w:w="60"/>
              <w:right w:type="dxa" w:w="90"/>
            </w:tcMar>
          </w:tcPr>
          <w:p>
            <w:pPr>
              <w:spacing w:after="0"/>
              <w:jc w:val="center"/>
            </w:pPr>
            <w:r>
              <w:rPr>
                <w:sz w:val="20"/>
                <w:szCs w:val="20"/>
              </w:rPr>
              <w:t xml:space="preserve">X</w:t>
            </w:r>
          </w:p>
        </w:tc>
        <w:tc>
          <w:tcPr>
            <w:tcW w:type="dxa" w:w="1520"/>
            <w:tcMar>
              <w:top w:type="dxa" w:w="60"/>
              <w:left w:type="dxa" w:w="90"/>
              <w:bottom w:type="dxa" w:w="60"/>
              <w:right w:type="dxa" w:w="90"/>
            </w:tcMar>
          </w:tcPr>
          <w:p>
            <w:pPr>
              <w:spacing w:after="0"/>
              <w:jc w:val="center"/>
            </w:pPr>
            <w:r>
              <w:rPr>
                <w:sz w:val="20"/>
                <w:szCs w:val="20"/>
              </w:rPr>
              <w:t xml:space="preserve">X</w:t>
            </w:r>
          </w:p>
        </w:tc>
        <w:tc>
          <w:tcPr>
            <w:tcW w:type="dxa" w:w="1520"/>
            <w:tcMar>
              <w:top w:type="dxa" w:w="60"/>
              <w:left w:type="dxa" w:w="90"/>
              <w:bottom w:type="dxa" w:w="60"/>
              <w:right w:type="dxa" w:w="90"/>
            </w:tcMar>
          </w:tcPr>
          <w:p>
            <w:pPr>
              <w:spacing w:after="0"/>
              <w:jc w:val="center"/>
            </w:pPr>
            <w:r>
              <w:rPr>
                <w:sz w:val="20"/>
                <w:szCs w:val="20"/>
              </w:rPr>
              <w:t xml:space="preserve"/>
            </w:r>
          </w:p>
        </w:tc>
        <w:tc>
          <w:tcPr>
            <w:tcW w:type="dxa" w:w="1520"/>
            <w:tcMar>
              <w:top w:type="dxa" w:w="60"/>
              <w:left w:type="dxa" w:w="90"/>
              <w:bottom w:type="dxa" w:w="60"/>
              <w:right w:type="dxa" w:w="90"/>
            </w:tcMar>
          </w:tcPr>
          <w:p>
            <w:pPr>
              <w:spacing w:after="0"/>
              <w:jc w:val="center"/>
            </w:pPr>
            <w:r>
              <w:rPr>
                <w:sz w:val="20"/>
                <w:szCs w:val="20"/>
              </w:rPr>
              <w:t xml:space="preserve"/>
            </w:r>
          </w:p>
        </w:tc>
        <w:tc>
          <w:tcPr>
            <w:tcW w:type="dxa" w:w="1520"/>
            <w:tcMar>
              <w:top w:type="dxa" w:w="60"/>
              <w:left w:type="dxa" w:w="90"/>
              <w:bottom w:type="dxa" w:w="60"/>
              <w:right w:type="dxa" w:w="90"/>
            </w:tcMar>
          </w:tcPr>
          <w:p>
            <w:pPr>
              <w:spacing w:after="0"/>
              <w:jc w:val="center"/>
            </w:pPr>
            <w:r>
              <w:rPr>
                <w:sz w:val="20"/>
                <w:szCs w:val="20"/>
              </w:rPr>
              <w:t xml:space="preserve"/>
            </w:r>
          </w:p>
        </w:tc>
      </w:tr>
      <w:tr>
        <w:tc>
          <w:tcPr>
            <w:tcW w:type="dxa" w:w="1400"/>
            <w:tcMar>
              <w:top w:type="dxa" w:w="60"/>
              <w:left w:type="dxa" w:w="90"/>
              <w:bottom w:type="dxa" w:w="60"/>
              <w:right w:type="dxa" w:w="90"/>
            </w:tcMar>
          </w:tcPr>
          <w:p>
            <w:pPr>
              <w:spacing w:after="0"/>
              <w:jc w:val="center"/>
            </w:pPr>
            <w:r>
              <w:rPr>
                <w:sz w:val="20"/>
                <w:szCs w:val="20"/>
              </w:rPr>
              <w:t xml:space="preserve">3</w:t>
            </w:r>
          </w:p>
        </w:tc>
        <w:tc>
          <w:tcPr>
            <w:tcW w:type="dxa" w:w="1520"/>
            <w:tcMar>
              <w:top w:type="dxa" w:w="60"/>
              <w:left w:type="dxa" w:w="90"/>
              <w:bottom w:type="dxa" w:w="60"/>
              <w:right w:type="dxa" w:w="90"/>
            </w:tcMar>
          </w:tcPr>
          <w:p>
            <w:pPr>
              <w:spacing w:after="0"/>
              <w:jc w:val="center"/>
            </w:pPr>
            <w:r>
              <w:rPr>
                <w:sz w:val="20"/>
                <w:szCs w:val="20"/>
              </w:rPr>
              <w:t xml:space="preserve"/>
            </w:r>
          </w:p>
        </w:tc>
        <w:tc>
          <w:tcPr>
            <w:tcW w:type="dxa" w:w="1520"/>
            <w:tcMar>
              <w:top w:type="dxa" w:w="60"/>
              <w:left w:type="dxa" w:w="90"/>
              <w:bottom w:type="dxa" w:w="60"/>
              <w:right w:type="dxa" w:w="90"/>
            </w:tcMar>
          </w:tcPr>
          <w:p>
            <w:pPr>
              <w:spacing w:after="0"/>
              <w:jc w:val="center"/>
            </w:pPr>
            <w:r>
              <w:rPr>
                <w:sz w:val="20"/>
                <w:szCs w:val="20"/>
              </w:rPr>
              <w:t xml:space="preserve">X</w:t>
            </w:r>
          </w:p>
        </w:tc>
        <w:tc>
          <w:tcPr>
            <w:tcW w:type="dxa" w:w="1520"/>
            <w:tcMar>
              <w:top w:type="dxa" w:w="60"/>
              <w:left w:type="dxa" w:w="90"/>
              <w:bottom w:type="dxa" w:w="60"/>
              <w:right w:type="dxa" w:w="90"/>
            </w:tcMar>
          </w:tcPr>
          <w:p>
            <w:pPr>
              <w:spacing w:after="0"/>
              <w:jc w:val="center"/>
            </w:pPr>
            <w:r>
              <w:rPr>
                <w:sz w:val="20"/>
                <w:szCs w:val="20"/>
              </w:rPr>
              <w:t xml:space="preserve">X</w:t>
            </w:r>
          </w:p>
        </w:tc>
        <w:tc>
          <w:tcPr>
            <w:tcW w:type="dxa" w:w="1520"/>
            <w:tcMar>
              <w:top w:type="dxa" w:w="60"/>
              <w:left w:type="dxa" w:w="90"/>
              <w:bottom w:type="dxa" w:w="60"/>
              <w:right w:type="dxa" w:w="90"/>
            </w:tcMar>
          </w:tcPr>
          <w:p>
            <w:pPr>
              <w:spacing w:after="0"/>
              <w:jc w:val="center"/>
            </w:pPr>
            <w:r>
              <w:rPr>
                <w:sz w:val="20"/>
                <w:szCs w:val="20"/>
              </w:rPr>
              <w:t xml:space="preserve"/>
            </w:r>
          </w:p>
        </w:tc>
        <w:tc>
          <w:tcPr>
            <w:tcW w:type="dxa" w:w="1520"/>
            <w:tcMar>
              <w:top w:type="dxa" w:w="60"/>
              <w:left w:type="dxa" w:w="90"/>
              <w:bottom w:type="dxa" w:w="60"/>
              <w:right w:type="dxa" w:w="90"/>
            </w:tcMar>
          </w:tcPr>
          <w:p>
            <w:pPr>
              <w:spacing w:after="0"/>
              <w:jc w:val="center"/>
            </w:pPr>
            <w:r>
              <w:rPr>
                <w:sz w:val="20"/>
                <w:szCs w:val="20"/>
              </w:rPr>
              <w:t xml:space="preserve"/>
            </w:r>
          </w:p>
        </w:tc>
      </w:tr>
      <w:tr>
        <w:tc>
          <w:tcPr>
            <w:tcW w:type="dxa" w:w="1400"/>
            <w:tcMar>
              <w:top w:type="dxa" w:w="60"/>
              <w:left w:type="dxa" w:w="90"/>
              <w:bottom w:type="dxa" w:w="60"/>
              <w:right w:type="dxa" w:w="90"/>
            </w:tcMar>
          </w:tcPr>
          <w:p>
            <w:pPr>
              <w:spacing w:after="0"/>
              <w:jc w:val="center"/>
            </w:pPr>
            <w:r>
              <w:rPr>
                <w:sz w:val="20"/>
                <w:szCs w:val="20"/>
              </w:rPr>
              <w:t xml:space="preserve">4</w:t>
            </w:r>
          </w:p>
        </w:tc>
        <w:tc>
          <w:tcPr>
            <w:tcW w:type="dxa" w:w="1520"/>
            <w:tcMar>
              <w:top w:type="dxa" w:w="60"/>
              <w:left w:type="dxa" w:w="90"/>
              <w:bottom w:type="dxa" w:w="60"/>
              <w:right w:type="dxa" w:w="90"/>
            </w:tcMar>
          </w:tcPr>
          <w:p>
            <w:pPr>
              <w:spacing w:after="0"/>
              <w:jc w:val="center"/>
            </w:pPr>
            <w:r>
              <w:rPr>
                <w:sz w:val="20"/>
                <w:szCs w:val="20"/>
              </w:rPr>
              <w:t xml:space="preserve"/>
            </w:r>
          </w:p>
        </w:tc>
        <w:tc>
          <w:tcPr>
            <w:tcW w:type="dxa" w:w="1520"/>
            <w:tcMar>
              <w:top w:type="dxa" w:w="60"/>
              <w:left w:type="dxa" w:w="90"/>
              <w:bottom w:type="dxa" w:w="60"/>
              <w:right w:type="dxa" w:w="90"/>
            </w:tcMar>
          </w:tcPr>
          <w:p>
            <w:pPr>
              <w:spacing w:after="0"/>
              <w:jc w:val="center"/>
            </w:pPr>
            <w:r>
              <w:rPr>
                <w:sz w:val="20"/>
                <w:szCs w:val="20"/>
              </w:rPr>
              <w:t xml:space="preserve">X</w:t>
            </w:r>
          </w:p>
        </w:tc>
        <w:tc>
          <w:tcPr>
            <w:tcW w:type="dxa" w:w="1520"/>
            <w:tcMar>
              <w:top w:type="dxa" w:w="60"/>
              <w:left w:type="dxa" w:w="90"/>
              <w:bottom w:type="dxa" w:w="60"/>
              <w:right w:type="dxa" w:w="90"/>
            </w:tcMar>
          </w:tcPr>
          <w:p>
            <w:pPr>
              <w:spacing w:after="0"/>
              <w:jc w:val="center"/>
            </w:pPr>
            <w:r>
              <w:rPr>
                <w:sz w:val="20"/>
                <w:szCs w:val="20"/>
              </w:rPr>
              <w:t xml:space="preserve">X</w:t>
            </w:r>
          </w:p>
        </w:tc>
        <w:tc>
          <w:tcPr>
            <w:tcW w:type="dxa" w:w="1520"/>
            <w:tcMar>
              <w:top w:type="dxa" w:w="60"/>
              <w:left w:type="dxa" w:w="90"/>
              <w:bottom w:type="dxa" w:w="60"/>
              <w:right w:type="dxa" w:w="90"/>
            </w:tcMar>
          </w:tcPr>
          <w:p>
            <w:pPr>
              <w:spacing w:after="0"/>
              <w:jc w:val="center"/>
            </w:pPr>
            <w:r>
              <w:rPr>
                <w:sz w:val="20"/>
                <w:szCs w:val="20"/>
              </w:rPr>
              <w:t xml:space="preserve"/>
            </w:r>
          </w:p>
        </w:tc>
        <w:tc>
          <w:tcPr>
            <w:tcW w:type="dxa" w:w="1520"/>
            <w:tcMar>
              <w:top w:type="dxa" w:w="60"/>
              <w:left w:type="dxa" w:w="90"/>
              <w:bottom w:type="dxa" w:w="60"/>
              <w:right w:type="dxa" w:w="90"/>
            </w:tcMar>
          </w:tcPr>
          <w:p>
            <w:pPr>
              <w:spacing w:after="0"/>
              <w:jc w:val="center"/>
            </w:pPr>
            <w:r>
              <w:rPr>
                <w:sz w:val="20"/>
                <w:szCs w:val="20"/>
              </w:rPr>
              <w:t xml:space="preserve"/>
            </w:r>
          </w:p>
        </w:tc>
      </w:tr>
      <w:tr>
        <w:tc>
          <w:tcPr>
            <w:tcW w:type="dxa" w:w="1400"/>
            <w:tcMar>
              <w:top w:type="dxa" w:w="60"/>
              <w:left w:type="dxa" w:w="90"/>
              <w:bottom w:type="dxa" w:w="60"/>
              <w:right w:type="dxa" w:w="90"/>
            </w:tcMar>
          </w:tcPr>
          <w:p>
            <w:pPr>
              <w:spacing w:after="0"/>
              <w:jc w:val="center"/>
            </w:pPr>
            <w:r>
              <w:rPr>
                <w:sz w:val="20"/>
                <w:szCs w:val="20"/>
              </w:rPr>
              <w:t xml:space="preserve">5</w:t>
            </w:r>
          </w:p>
        </w:tc>
        <w:tc>
          <w:tcPr>
            <w:tcW w:type="dxa" w:w="1520"/>
            <w:tcMar>
              <w:top w:type="dxa" w:w="60"/>
              <w:left w:type="dxa" w:w="90"/>
              <w:bottom w:type="dxa" w:w="60"/>
              <w:right w:type="dxa" w:w="90"/>
            </w:tcMar>
          </w:tcPr>
          <w:p>
            <w:pPr>
              <w:spacing w:after="0"/>
              <w:jc w:val="center"/>
            </w:pPr>
            <w:r>
              <w:rPr>
                <w:sz w:val="20"/>
                <w:szCs w:val="20"/>
              </w:rPr>
              <w:t xml:space="preserve"/>
            </w:r>
          </w:p>
        </w:tc>
        <w:tc>
          <w:tcPr>
            <w:tcW w:type="dxa" w:w="1520"/>
            <w:tcMar>
              <w:top w:type="dxa" w:w="60"/>
              <w:left w:type="dxa" w:w="90"/>
              <w:bottom w:type="dxa" w:w="60"/>
              <w:right w:type="dxa" w:w="90"/>
            </w:tcMar>
          </w:tcPr>
          <w:p>
            <w:pPr>
              <w:spacing w:after="0"/>
              <w:jc w:val="center"/>
            </w:pPr>
            <w:r>
              <w:rPr>
                <w:sz w:val="20"/>
                <w:szCs w:val="20"/>
              </w:rPr>
              <w:t xml:space="preserve"/>
            </w:r>
          </w:p>
        </w:tc>
        <w:tc>
          <w:tcPr>
            <w:tcW w:type="dxa" w:w="1520"/>
            <w:tcMar>
              <w:top w:type="dxa" w:w="60"/>
              <w:left w:type="dxa" w:w="90"/>
              <w:bottom w:type="dxa" w:w="60"/>
              <w:right w:type="dxa" w:w="90"/>
            </w:tcMar>
          </w:tcPr>
          <w:p>
            <w:pPr>
              <w:spacing w:after="0"/>
              <w:jc w:val="center"/>
            </w:pPr>
            <w:r>
              <w:rPr>
                <w:sz w:val="20"/>
                <w:szCs w:val="20"/>
              </w:rPr>
              <w:t xml:space="preserve">X</w:t>
            </w:r>
          </w:p>
        </w:tc>
        <w:tc>
          <w:tcPr>
            <w:tcW w:type="dxa" w:w="1520"/>
            <w:tcMar>
              <w:top w:type="dxa" w:w="60"/>
              <w:left w:type="dxa" w:w="90"/>
              <w:bottom w:type="dxa" w:w="60"/>
              <w:right w:type="dxa" w:w="90"/>
            </w:tcMar>
          </w:tcPr>
          <w:p>
            <w:pPr>
              <w:spacing w:after="0"/>
              <w:jc w:val="center"/>
            </w:pPr>
            <w:r>
              <w:rPr>
                <w:sz w:val="20"/>
                <w:szCs w:val="20"/>
              </w:rPr>
              <w:t xml:space="preserve">X</w:t>
            </w:r>
          </w:p>
        </w:tc>
        <w:tc>
          <w:tcPr>
            <w:tcW w:type="dxa" w:w="1520"/>
            <w:tcMar>
              <w:top w:type="dxa" w:w="60"/>
              <w:left w:type="dxa" w:w="90"/>
              <w:bottom w:type="dxa" w:w="60"/>
              <w:right w:type="dxa" w:w="90"/>
            </w:tcMar>
          </w:tcPr>
          <w:p>
            <w:pPr>
              <w:spacing w:after="0"/>
              <w:jc w:val="center"/>
            </w:pPr>
            <w:r>
              <w:rPr>
                <w:sz w:val="20"/>
                <w:szCs w:val="20"/>
              </w:rPr>
              <w:t xml:space="preserve"/>
            </w:r>
          </w:p>
        </w:tc>
      </w:tr>
      <w:tr>
        <w:tc>
          <w:tcPr>
            <w:tcW w:type="dxa" w:w="1400"/>
            <w:tcMar>
              <w:top w:type="dxa" w:w="60"/>
              <w:left w:type="dxa" w:w="90"/>
              <w:bottom w:type="dxa" w:w="60"/>
              <w:right w:type="dxa" w:w="90"/>
            </w:tcMar>
          </w:tcPr>
          <w:p>
            <w:pPr>
              <w:spacing w:after="0"/>
              <w:jc w:val="center"/>
            </w:pPr>
            <w:r>
              <w:rPr>
                <w:sz w:val="20"/>
                <w:szCs w:val="20"/>
              </w:rPr>
              <w:t xml:space="preserve">6</w:t>
            </w:r>
          </w:p>
        </w:tc>
        <w:tc>
          <w:tcPr>
            <w:tcW w:type="dxa" w:w="1520"/>
            <w:tcMar>
              <w:top w:type="dxa" w:w="60"/>
              <w:left w:type="dxa" w:w="90"/>
              <w:bottom w:type="dxa" w:w="60"/>
              <w:right w:type="dxa" w:w="90"/>
            </w:tcMar>
          </w:tcPr>
          <w:p>
            <w:pPr>
              <w:spacing w:after="0"/>
              <w:jc w:val="center"/>
            </w:pPr>
            <w:r>
              <w:rPr>
                <w:sz w:val="20"/>
                <w:szCs w:val="20"/>
              </w:rPr>
              <w:t xml:space="preserve"/>
            </w:r>
          </w:p>
        </w:tc>
        <w:tc>
          <w:tcPr>
            <w:tcW w:type="dxa" w:w="1520"/>
            <w:tcMar>
              <w:top w:type="dxa" w:w="60"/>
              <w:left w:type="dxa" w:w="90"/>
              <w:bottom w:type="dxa" w:w="60"/>
              <w:right w:type="dxa" w:w="90"/>
            </w:tcMar>
          </w:tcPr>
          <w:p>
            <w:pPr>
              <w:spacing w:after="0"/>
              <w:jc w:val="center"/>
            </w:pPr>
            <w:r>
              <w:rPr>
                <w:sz w:val="20"/>
                <w:szCs w:val="20"/>
              </w:rPr>
              <w:t xml:space="preserve"/>
            </w:r>
          </w:p>
        </w:tc>
        <w:tc>
          <w:tcPr>
            <w:tcW w:type="dxa" w:w="1520"/>
            <w:tcMar>
              <w:top w:type="dxa" w:w="60"/>
              <w:left w:type="dxa" w:w="90"/>
              <w:bottom w:type="dxa" w:w="60"/>
              <w:right w:type="dxa" w:w="90"/>
            </w:tcMar>
          </w:tcPr>
          <w:p>
            <w:pPr>
              <w:spacing w:after="0"/>
              <w:jc w:val="center"/>
            </w:pPr>
            <w:r>
              <w:rPr>
                <w:sz w:val="20"/>
                <w:szCs w:val="20"/>
              </w:rPr>
              <w:t xml:space="preserve">X</w:t>
            </w:r>
          </w:p>
        </w:tc>
        <w:tc>
          <w:tcPr>
            <w:tcW w:type="dxa" w:w="1520"/>
            <w:tcMar>
              <w:top w:type="dxa" w:w="60"/>
              <w:left w:type="dxa" w:w="90"/>
              <w:bottom w:type="dxa" w:w="60"/>
              <w:right w:type="dxa" w:w="90"/>
            </w:tcMar>
          </w:tcPr>
          <w:p>
            <w:pPr>
              <w:spacing w:after="0"/>
              <w:jc w:val="center"/>
            </w:pPr>
            <w:r>
              <w:rPr>
                <w:sz w:val="20"/>
                <w:szCs w:val="20"/>
              </w:rPr>
              <w:t xml:space="preserve">X</w:t>
            </w:r>
          </w:p>
        </w:tc>
        <w:tc>
          <w:tcPr>
            <w:tcW w:type="dxa" w:w="1520"/>
            <w:tcMar>
              <w:top w:type="dxa" w:w="60"/>
              <w:left w:type="dxa" w:w="90"/>
              <w:bottom w:type="dxa" w:w="60"/>
              <w:right w:type="dxa" w:w="90"/>
            </w:tcMar>
          </w:tcPr>
          <w:p>
            <w:pPr>
              <w:spacing w:after="0"/>
              <w:jc w:val="center"/>
            </w:pPr>
            <w:r>
              <w:rPr>
                <w:sz w:val="20"/>
                <w:szCs w:val="20"/>
              </w:rPr>
              <w:t xml:space="preserve"/>
            </w:r>
          </w:p>
        </w:tc>
      </w:tr>
      <w:tr>
        <w:tc>
          <w:tcPr>
            <w:tcW w:type="dxa" w:w="1400"/>
            <w:tcMar>
              <w:top w:type="dxa" w:w="60"/>
              <w:left w:type="dxa" w:w="90"/>
              <w:bottom w:type="dxa" w:w="60"/>
              <w:right w:type="dxa" w:w="90"/>
            </w:tcMar>
          </w:tcPr>
          <w:p>
            <w:pPr>
              <w:spacing w:after="0"/>
              <w:jc w:val="center"/>
            </w:pPr>
            <w:r>
              <w:rPr>
                <w:sz w:val="20"/>
                <w:szCs w:val="20"/>
              </w:rPr>
              <w:t xml:space="preserve">7</w:t>
            </w:r>
          </w:p>
        </w:tc>
        <w:tc>
          <w:tcPr>
            <w:tcW w:type="dxa" w:w="1520"/>
            <w:tcMar>
              <w:top w:type="dxa" w:w="60"/>
              <w:left w:type="dxa" w:w="90"/>
              <w:bottom w:type="dxa" w:w="60"/>
              <w:right w:type="dxa" w:w="90"/>
            </w:tcMar>
          </w:tcPr>
          <w:p>
            <w:pPr>
              <w:spacing w:after="0"/>
              <w:jc w:val="center"/>
            </w:pPr>
            <w:r>
              <w:rPr>
                <w:sz w:val="20"/>
                <w:szCs w:val="20"/>
              </w:rPr>
              <w:t xml:space="preserve"/>
            </w:r>
          </w:p>
        </w:tc>
        <w:tc>
          <w:tcPr>
            <w:tcW w:type="dxa" w:w="1520"/>
            <w:tcMar>
              <w:top w:type="dxa" w:w="60"/>
              <w:left w:type="dxa" w:w="90"/>
              <w:bottom w:type="dxa" w:w="60"/>
              <w:right w:type="dxa" w:w="90"/>
            </w:tcMar>
          </w:tcPr>
          <w:p>
            <w:pPr>
              <w:spacing w:after="0"/>
              <w:jc w:val="center"/>
            </w:pPr>
            <w:r>
              <w:rPr>
                <w:sz w:val="20"/>
                <w:szCs w:val="20"/>
              </w:rPr>
              <w:t xml:space="preserve"/>
            </w:r>
          </w:p>
        </w:tc>
        <w:tc>
          <w:tcPr>
            <w:tcW w:type="dxa" w:w="1520"/>
            <w:tcMar>
              <w:top w:type="dxa" w:w="60"/>
              <w:left w:type="dxa" w:w="90"/>
              <w:bottom w:type="dxa" w:w="60"/>
              <w:right w:type="dxa" w:w="90"/>
            </w:tcMar>
          </w:tcPr>
          <w:p>
            <w:pPr>
              <w:spacing w:after="0"/>
              <w:jc w:val="center"/>
            </w:pPr>
            <w:r>
              <w:rPr>
                <w:sz w:val="20"/>
                <w:szCs w:val="20"/>
              </w:rPr>
              <w:t xml:space="preserve">X</w:t>
            </w:r>
          </w:p>
        </w:tc>
        <w:tc>
          <w:tcPr>
            <w:tcW w:type="dxa" w:w="1520"/>
            <w:tcMar>
              <w:top w:type="dxa" w:w="60"/>
              <w:left w:type="dxa" w:w="90"/>
              <w:bottom w:type="dxa" w:w="60"/>
              <w:right w:type="dxa" w:w="90"/>
            </w:tcMar>
          </w:tcPr>
          <w:p>
            <w:pPr>
              <w:spacing w:after="0"/>
              <w:jc w:val="center"/>
            </w:pPr>
            <w:r>
              <w:rPr>
                <w:sz w:val="20"/>
                <w:szCs w:val="20"/>
              </w:rPr>
              <w:t xml:space="preserve">X</w:t>
            </w:r>
          </w:p>
        </w:tc>
        <w:tc>
          <w:tcPr>
            <w:tcW w:type="dxa" w:w="1520"/>
            <w:tcMar>
              <w:top w:type="dxa" w:w="60"/>
              <w:left w:type="dxa" w:w="90"/>
              <w:bottom w:type="dxa" w:w="60"/>
              <w:right w:type="dxa" w:w="90"/>
            </w:tcMar>
          </w:tcPr>
          <w:p>
            <w:pPr>
              <w:spacing w:after="0"/>
              <w:jc w:val="center"/>
            </w:pPr>
            <w:r>
              <w:rPr>
                <w:sz w:val="20"/>
                <w:szCs w:val="20"/>
              </w:rPr>
              <w:t xml:space="preserve"/>
            </w:r>
          </w:p>
        </w:tc>
      </w:tr>
      <w:tr>
        <w:tc>
          <w:tcPr>
            <w:tcW w:type="dxa" w:w="1400"/>
            <w:tcMar>
              <w:top w:type="dxa" w:w="60"/>
              <w:left w:type="dxa" w:w="90"/>
              <w:bottom w:type="dxa" w:w="60"/>
              <w:right w:type="dxa" w:w="90"/>
            </w:tcMar>
          </w:tcPr>
          <w:p>
            <w:pPr>
              <w:spacing w:after="0"/>
              <w:jc w:val="center"/>
            </w:pPr>
            <w:r>
              <w:rPr>
                <w:sz w:val="20"/>
                <w:szCs w:val="20"/>
              </w:rPr>
              <w:t xml:space="preserve">8</w:t>
            </w:r>
          </w:p>
        </w:tc>
        <w:tc>
          <w:tcPr>
            <w:tcW w:type="dxa" w:w="1520"/>
            <w:tcMar>
              <w:top w:type="dxa" w:w="60"/>
              <w:left w:type="dxa" w:w="90"/>
              <w:bottom w:type="dxa" w:w="60"/>
              <w:right w:type="dxa" w:w="90"/>
            </w:tcMar>
          </w:tcPr>
          <w:p>
            <w:pPr>
              <w:spacing w:after="0"/>
              <w:jc w:val="center"/>
            </w:pPr>
            <w:r>
              <w:rPr>
                <w:sz w:val="20"/>
                <w:szCs w:val="20"/>
              </w:rPr>
              <w:t xml:space="preserve"/>
            </w:r>
          </w:p>
        </w:tc>
        <w:tc>
          <w:tcPr>
            <w:tcW w:type="dxa" w:w="1520"/>
            <w:tcMar>
              <w:top w:type="dxa" w:w="60"/>
              <w:left w:type="dxa" w:w="90"/>
              <w:bottom w:type="dxa" w:w="60"/>
              <w:right w:type="dxa" w:w="90"/>
            </w:tcMar>
          </w:tcPr>
          <w:p>
            <w:pPr>
              <w:spacing w:after="0"/>
              <w:jc w:val="center"/>
            </w:pPr>
            <w:r>
              <w:rPr>
                <w:sz w:val="20"/>
                <w:szCs w:val="20"/>
              </w:rPr>
              <w:t xml:space="preserve"/>
            </w:r>
          </w:p>
        </w:tc>
        <w:tc>
          <w:tcPr>
            <w:tcW w:type="dxa" w:w="1520"/>
            <w:tcMar>
              <w:top w:type="dxa" w:w="60"/>
              <w:left w:type="dxa" w:w="90"/>
              <w:bottom w:type="dxa" w:w="60"/>
              <w:right w:type="dxa" w:w="90"/>
            </w:tcMar>
          </w:tcPr>
          <w:p>
            <w:pPr>
              <w:spacing w:after="0"/>
              <w:jc w:val="center"/>
            </w:pPr>
            <w:r>
              <w:rPr>
                <w:sz w:val="20"/>
                <w:szCs w:val="20"/>
              </w:rPr>
              <w:t xml:space="preserve"/>
            </w:r>
          </w:p>
        </w:tc>
        <w:tc>
          <w:tcPr>
            <w:tcW w:type="dxa" w:w="1520"/>
            <w:tcMar>
              <w:top w:type="dxa" w:w="60"/>
              <w:left w:type="dxa" w:w="90"/>
              <w:bottom w:type="dxa" w:w="60"/>
              <w:right w:type="dxa" w:w="90"/>
            </w:tcMar>
          </w:tcPr>
          <w:p>
            <w:pPr>
              <w:spacing w:after="0"/>
              <w:jc w:val="center"/>
            </w:pPr>
            <w:r>
              <w:rPr>
                <w:sz w:val="20"/>
                <w:szCs w:val="20"/>
              </w:rPr>
              <w:t xml:space="preserve">X</w:t>
            </w:r>
          </w:p>
        </w:tc>
        <w:tc>
          <w:tcPr>
            <w:tcW w:type="dxa" w:w="1520"/>
            <w:tcMar>
              <w:top w:type="dxa" w:w="60"/>
              <w:left w:type="dxa" w:w="90"/>
              <w:bottom w:type="dxa" w:w="60"/>
              <w:right w:type="dxa" w:w="90"/>
            </w:tcMar>
          </w:tcPr>
          <w:p>
            <w:pPr>
              <w:spacing w:after="0"/>
              <w:jc w:val="center"/>
            </w:pPr>
            <w:r>
              <w:rPr>
                <w:sz w:val="20"/>
                <w:szCs w:val="20"/>
              </w:rPr>
              <w:t xml:space="preserve">X</w:t>
            </w:r>
          </w:p>
        </w:tc>
      </w:tr>
      <w:tr>
        <w:tc>
          <w:tcPr>
            <w:tcW w:type="dxa" w:w="1400"/>
            <w:tcMar>
              <w:top w:type="dxa" w:w="60"/>
              <w:left w:type="dxa" w:w="90"/>
              <w:bottom w:type="dxa" w:w="60"/>
              <w:right w:type="dxa" w:w="90"/>
            </w:tcMar>
          </w:tcPr>
          <w:p>
            <w:pPr>
              <w:spacing w:after="0"/>
              <w:jc w:val="center"/>
            </w:pPr>
            <w:r>
              <w:rPr>
                <w:sz w:val="20"/>
                <w:szCs w:val="20"/>
              </w:rPr>
              <w:t xml:space="preserve">9</w:t>
            </w:r>
          </w:p>
        </w:tc>
        <w:tc>
          <w:tcPr>
            <w:tcW w:type="dxa" w:w="1520"/>
            <w:tcMar>
              <w:top w:type="dxa" w:w="60"/>
              <w:left w:type="dxa" w:w="90"/>
              <w:bottom w:type="dxa" w:w="60"/>
              <w:right w:type="dxa" w:w="90"/>
            </w:tcMar>
          </w:tcPr>
          <w:p>
            <w:pPr>
              <w:spacing w:after="0"/>
              <w:jc w:val="center"/>
            </w:pPr>
            <w:r>
              <w:rPr>
                <w:sz w:val="20"/>
                <w:szCs w:val="20"/>
              </w:rPr>
              <w:t xml:space="preserve"/>
            </w:r>
          </w:p>
        </w:tc>
        <w:tc>
          <w:tcPr>
            <w:tcW w:type="dxa" w:w="1520"/>
            <w:tcMar>
              <w:top w:type="dxa" w:w="60"/>
              <w:left w:type="dxa" w:w="90"/>
              <w:bottom w:type="dxa" w:w="60"/>
              <w:right w:type="dxa" w:w="90"/>
            </w:tcMar>
          </w:tcPr>
          <w:p>
            <w:pPr>
              <w:spacing w:after="0"/>
              <w:jc w:val="center"/>
            </w:pPr>
            <w:r>
              <w:rPr>
                <w:sz w:val="20"/>
                <w:szCs w:val="20"/>
              </w:rPr>
              <w:t xml:space="preserve"/>
            </w:r>
          </w:p>
        </w:tc>
        <w:tc>
          <w:tcPr>
            <w:tcW w:type="dxa" w:w="1520"/>
            <w:tcMar>
              <w:top w:type="dxa" w:w="60"/>
              <w:left w:type="dxa" w:w="90"/>
              <w:bottom w:type="dxa" w:w="60"/>
              <w:right w:type="dxa" w:w="90"/>
            </w:tcMar>
          </w:tcPr>
          <w:p>
            <w:pPr>
              <w:spacing w:after="0"/>
              <w:jc w:val="center"/>
            </w:pPr>
            <w:r>
              <w:rPr>
                <w:sz w:val="20"/>
                <w:szCs w:val="20"/>
              </w:rPr>
              <w:t xml:space="preserve"/>
            </w:r>
          </w:p>
        </w:tc>
        <w:tc>
          <w:tcPr>
            <w:tcW w:type="dxa" w:w="1520"/>
            <w:tcMar>
              <w:top w:type="dxa" w:w="60"/>
              <w:left w:type="dxa" w:w="90"/>
              <w:bottom w:type="dxa" w:w="60"/>
              <w:right w:type="dxa" w:w="90"/>
            </w:tcMar>
          </w:tcPr>
          <w:p>
            <w:pPr>
              <w:spacing w:after="0"/>
              <w:jc w:val="center"/>
            </w:pPr>
            <w:r>
              <w:rPr>
                <w:sz w:val="20"/>
                <w:szCs w:val="20"/>
              </w:rPr>
              <w:t xml:space="preserve">X</w:t>
            </w:r>
          </w:p>
        </w:tc>
        <w:tc>
          <w:tcPr>
            <w:tcW w:type="dxa" w:w="1520"/>
            <w:tcMar>
              <w:top w:type="dxa" w:w="60"/>
              <w:left w:type="dxa" w:w="90"/>
              <w:bottom w:type="dxa" w:w="60"/>
              <w:right w:type="dxa" w:w="90"/>
            </w:tcMar>
          </w:tcPr>
          <w:p>
            <w:pPr>
              <w:spacing w:after="0"/>
              <w:jc w:val="center"/>
            </w:pPr>
            <w:r>
              <w:rPr>
                <w:sz w:val="20"/>
                <w:szCs w:val="20"/>
              </w:rPr>
              <w:t xml:space="preserve">X</w:t>
            </w:r>
          </w:p>
        </w:tc>
      </w:tr>
      <w:tr>
        <w:tc>
          <w:tcPr>
            <w:tcW w:type="dxa" w:w="1400"/>
            <w:tcMar>
              <w:top w:type="dxa" w:w="60"/>
              <w:left w:type="dxa" w:w="90"/>
              <w:bottom w:type="dxa" w:w="60"/>
              <w:right w:type="dxa" w:w="90"/>
            </w:tcMar>
          </w:tcPr>
          <w:p>
            <w:pPr>
              <w:spacing w:after="0"/>
              <w:jc w:val="center"/>
            </w:pPr>
            <w:r>
              <w:rPr>
                <w:sz w:val="20"/>
                <w:szCs w:val="20"/>
              </w:rPr>
              <w:t xml:space="preserve">10</w:t>
            </w:r>
          </w:p>
        </w:tc>
        <w:tc>
          <w:tcPr>
            <w:tcW w:type="dxa" w:w="1520"/>
            <w:tcMar>
              <w:top w:type="dxa" w:w="60"/>
              <w:left w:type="dxa" w:w="90"/>
              <w:bottom w:type="dxa" w:w="60"/>
              <w:right w:type="dxa" w:w="90"/>
            </w:tcMar>
          </w:tcPr>
          <w:p>
            <w:pPr>
              <w:spacing w:after="0"/>
              <w:jc w:val="center"/>
            </w:pPr>
            <w:r>
              <w:rPr>
                <w:sz w:val="20"/>
                <w:szCs w:val="20"/>
              </w:rPr>
              <w:t xml:space="preserve"/>
            </w:r>
          </w:p>
        </w:tc>
        <w:tc>
          <w:tcPr>
            <w:tcW w:type="dxa" w:w="1520"/>
            <w:tcMar>
              <w:top w:type="dxa" w:w="60"/>
              <w:left w:type="dxa" w:w="90"/>
              <w:bottom w:type="dxa" w:w="60"/>
              <w:right w:type="dxa" w:w="90"/>
            </w:tcMar>
          </w:tcPr>
          <w:p>
            <w:pPr>
              <w:spacing w:after="0"/>
              <w:jc w:val="center"/>
            </w:pPr>
            <w:r>
              <w:rPr>
                <w:sz w:val="20"/>
                <w:szCs w:val="20"/>
              </w:rPr>
              <w:t xml:space="preserve"/>
            </w:r>
          </w:p>
        </w:tc>
        <w:tc>
          <w:tcPr>
            <w:tcW w:type="dxa" w:w="1520"/>
            <w:tcMar>
              <w:top w:type="dxa" w:w="60"/>
              <w:left w:type="dxa" w:w="90"/>
              <w:bottom w:type="dxa" w:w="60"/>
              <w:right w:type="dxa" w:w="90"/>
            </w:tcMar>
          </w:tcPr>
          <w:p>
            <w:pPr>
              <w:spacing w:after="0"/>
              <w:jc w:val="center"/>
            </w:pPr>
            <w:r>
              <w:rPr>
                <w:sz w:val="20"/>
                <w:szCs w:val="20"/>
              </w:rPr>
              <w:t xml:space="preserve">X</w:t>
            </w:r>
          </w:p>
        </w:tc>
        <w:tc>
          <w:tcPr>
            <w:tcW w:type="dxa" w:w="1520"/>
            <w:tcMar>
              <w:top w:type="dxa" w:w="60"/>
              <w:left w:type="dxa" w:w="90"/>
              <w:bottom w:type="dxa" w:w="60"/>
              <w:right w:type="dxa" w:w="90"/>
            </w:tcMar>
          </w:tcPr>
          <w:p>
            <w:pPr>
              <w:spacing w:after="0"/>
              <w:jc w:val="center"/>
            </w:pPr>
            <w:r>
              <w:rPr>
                <w:sz w:val="20"/>
                <w:szCs w:val="20"/>
              </w:rPr>
              <w:t xml:space="preserve">X</w:t>
            </w:r>
          </w:p>
        </w:tc>
        <w:tc>
          <w:tcPr>
            <w:tcW w:type="dxa" w:w="1520"/>
            <w:tcMar>
              <w:top w:type="dxa" w:w="60"/>
              <w:left w:type="dxa" w:w="90"/>
              <w:bottom w:type="dxa" w:w="60"/>
              <w:right w:type="dxa" w:w="90"/>
            </w:tcMar>
          </w:tcPr>
          <w:p>
            <w:pPr>
              <w:spacing w:after="0"/>
              <w:jc w:val="center"/>
            </w:pPr>
            <w:r>
              <w:rPr>
                <w:sz w:val="20"/>
                <w:szCs w:val="20"/>
              </w:rPr>
              <w:t xml:space="preserve">X</w:t>
            </w:r>
          </w:p>
        </w:tc>
      </w:tr>
    </w:tbl>
    <w:p>
      <w:pPr>
        <w:spacing w:after="120"/>
      </w:pPr>
    </w:p>
    <w:p>
      <w:pPr>
        <w:spacing w:after="160" w:line="276"/>
        <w:jc w:val="both"/>
      </w:pPr>
      <w:r>
        <w:rPr>
          <w:i/>
          <w:iCs/>
          <w:sz w:val="22"/>
          <w:szCs w:val="22"/>
        </w:rPr>
        <w:t xml:space="preserve">Observação: a Meta 9 possui caráter condicional. Sua execução está subordinada ao cumprimento integral das Metas 1 a 8, que constituem o núcleo essencial do projeto. Caso o cronograma não comporte sua realização, o painel de visualização será especificado e documentado como trabalho futuro, sem prejuízo dos resultados previstos.</w:t>
      </w:r>
    </w:p>
    <w:p>
      <w:pPr>
        <w:pStyle w:val="Heading1"/>
        <w:spacing w:after="160" w:before="280"/>
      </w:pPr>
      <w:r>
        <w:rPr>
          <w:b/>
          <w:bCs/>
          <w:color w:val="1F3864"/>
          <w:sz w:val="26"/>
          <w:szCs w:val="26"/>
        </w:rPr>
        <w:t xml:space="preserve">Fundamentação Teórica</w:t>
      </w:r>
    </w:p>
    <w:p>
      <w:pPr>
        <w:spacing w:after="160" w:line="276"/>
        <w:jc w:val="both"/>
      </w:pPr>
      <w:r>
        <w:rPr>
          <w:sz w:val="22"/>
          <w:szCs w:val="22"/>
        </w:rPr>
        <w:t xml:space="preserve">O acompanhamento da trajetória profissional dos estudantes após a conclusão do curso consolidou-se como instrumento central da gestão estratégica das Instituições de Ensino Superior. A inserção do egresso no mercado de trabalho e o impacto de sua atuação constituem indicadores definitivos da eficácia do projeto pedagógico, transcendendo a finalidade meramente administrativa e configurando mecanismo de retroalimentação curricular, avaliação institucional e prestação de contas à sociedade.</w:t>
      </w:r>
    </w:p>
    <w:p>
      <w:pPr>
        <w:spacing w:after="160" w:line="276"/>
        <w:jc w:val="both"/>
      </w:pPr>
      <w:r>
        <w:rPr>
          <w:sz w:val="22"/>
          <w:szCs w:val="22"/>
        </w:rPr>
        <w:t xml:space="preserve">No Brasil, essa prática foi institucionalizada por marcos regulatórios que a tornaram obrigatória. A Lei nº 10.861, de 14 de abril de 2004, instituiu o Sistema Nacional de Avaliação da Educação Superior (SINAES) e estabeleceu que as instituições mantenham mecanismos permanentes de autoavaliação, nos quais o rastreamento de egressos e os estudos de demanda profissional são incontornáveis. No âmbito do Instituto Federal de São Paulo, a Política de Acompanhamento de Egressos foi formalizada pela Resolução Normativa nº 13/2022, e sua execução é acompanhada por comitê permanente, cujas atribuições incluem o refinamento das estratégias de aquisição de informações e a promoção de plataforma tecnológica dedicada ao relacionamento com os graduados.</w:t>
      </w:r>
    </w:p>
    <w:p>
      <w:pPr>
        <w:spacing w:after="160" w:line="276"/>
        <w:jc w:val="both"/>
      </w:pPr>
      <w:r>
        <w:rPr>
          <w:sz w:val="22"/>
          <w:szCs w:val="22"/>
        </w:rPr>
        <w:t xml:space="preserve">A literatura especializada converge ao identificar que o principal obstáculo desses sistemas não é a programação do instrumento, mas o povoamento da base com informações atualizadas. Revisão sistemática sobre sistemas de acompanhamento de egressos em Instituições de Ensino Superior registra que autores como Mahaney e Fisher (2009 apud SILVA et al., 2022) e Hordosy (2014, 2016 apud SILVA et al., 2022) apontaram sistematicamente a dificuldade de refinar os instrumentos de pesquisa para elevar as taxas de resposta, bem como o desafio de estabelecer sistema convergente de coleta a partir de informações antes dispersas em silos isolados. A mesma revisão registra a constatação de Alban, Fernandez e Galarza (2019 apud SILVA et al., 2022) quanto à dificuldade de assegurar que os ex-alunos mantenham voluntariamente seus dados profissionais atualizados, fenômeno que pode ser descrito como degradação orgânica da informação: sem intervenção sistemática, todo contato torna-se obsoleto.</w:t>
      </w:r>
    </w:p>
    <w:p>
      <w:pPr>
        <w:spacing w:after="160" w:line="276"/>
        <w:jc w:val="both"/>
      </w:pPr>
      <w:r>
        <w:rPr>
          <w:sz w:val="22"/>
          <w:szCs w:val="22"/>
        </w:rPr>
        <w:t xml:space="preserve">Do ponto de vista do instrumento, Cabral, Silva e Pacheco (2016), em estudo conduzido para embasar o sistema da Universidade Federal de Uberlândia, criticaram os portais de egressos das principais universidades brasileiras, apontando a ausência de funcionalidades proativas e a redução dos sistemas a cadastros estáticos. Essa crítica sustenta a premissa de que o mecanismo de coleta deve ser ativo, e não apenas receptivo, o que justifica a centralidade atribuída neste projeto à rastreabilidade dos participantes e à automação do contato.</w:t>
      </w:r>
    </w:p>
    <w:p>
      <w:pPr>
        <w:spacing w:after="160" w:line="276"/>
        <w:jc w:val="both"/>
      </w:pPr>
      <w:r>
        <w:rPr>
          <w:sz w:val="22"/>
          <w:szCs w:val="22"/>
        </w:rPr>
        <w:t xml:space="preserve">As estratégias de engajamento de respondentes constituem, por isso, objeto específico de investigação neste trabalho. Experiências de busca ativa demonstram a efetividade da intervenção sistemática. A Escola Superior de Ciências da Santa Casa de Misericórdia de Vitória, diante do retorno de caixas postais inativas, deflagrou busca ativa multidimensional por contato telefônico e redes sociais, e substituiu a assinatura física do Termo de Consentimento Livre e Esclarecido por aceite eletrônico mediante clique, desburocratizando o processo de consentimento e defendendo a periodicidade anual do acompanhamento como forma de manter o vínculo (LOUSADA; MARTINS, 2019). O Instituto Federal do Espírito Santo obteve respostas de aproximadamente 1.840 egressos por meio de mobilização descentralizada que combinou mala direta, contato telefônico e disseminação de links em grupos informais de turmas; a mesma pesquisa evidenciou, contudo, viés amostral relevante, uma vez que a quase totalidade dos respondentes concentrava-se em faixa etária jovem e em egressos da última década, revelando a dificuldade de reengajar turmas mais antigas (IFES, 2025). Em vertente distinta, a plataforma Alumni USP desloca a relação da extração para a oferta de contrapartidas ao ex-aluno, de modo que a atualização cadastral ocorra de maneira orgânica (USP, 2026). A sistematização comparada dessas estratégias e sua tradução em parâmetros configuráveis do mecanismo constituem contribuição pretendida por este projeto.</w:t>
      </w:r>
    </w:p>
    <w:p>
      <w:pPr>
        <w:spacing w:after="160" w:line="276"/>
        <w:jc w:val="both"/>
      </w:pPr>
      <w:r>
        <w:rPr>
          <w:sz w:val="22"/>
          <w:szCs w:val="22"/>
        </w:rPr>
        <w:t xml:space="preserve">No campo da automação da coleta, parte da literatura propõe a extração de dados públicos da internet. O relato de mapeamento automatizado da vida profissional de egressos de Sistemas de Informação da Universidade Federal do Estado do Rio de Janeiro demonstrou a pertinência dessa abordagem para cursos de tecnologia, cujos formados mantêm presença digital significativa (ALVARES; LOUTFI; CAMPOS, 2020). Pesquisas conduzidas na Universidade Federal de Ouro Preto e em ferramenta computacional desenvolvida na Universidade Paranaense demonstraram igualmente a viabilidade de mapear trajetórias profissionais por raspagem de dados e integração a currículos da Plataforma Lattes (COSTA, 2020; SILVEIRA et al., 2019). Essas mesmas fontes registram, entretanto, que plataformas externas alteram com frequência sua estrutura de documento e aplicam proteções contra raspagem automatizada, o que obriga manutenção recorrente do código e eventual uso de serviços pagos. Considerando o horizonte temporal e os recursos deste projeto, tal abordagem foi deliberadamente excluída do escopo.</w:t>
      </w:r>
    </w:p>
    <w:p>
      <w:pPr>
        <w:spacing w:after="160" w:line="276"/>
        <w:jc w:val="both"/>
      </w:pPr>
      <w:r>
        <w:rPr>
          <w:sz w:val="22"/>
          <w:szCs w:val="22"/>
        </w:rPr>
        <w:t xml:space="preserve">De modo análogo, o cruzamento com bases governamentais de emprego formal, como praticado pela Universidade de Brasília mediante convênio para acesso à Relação Anual de Informações Sociais, produz indicadores de empregabilidade e remuneração de precisão superior à autodeclaração (UNB, 2019). Essa via, contudo, além de depender de convênio institucional cuja tramitação é incompatível com o cronograma proposto, apresenta limitação reconhecida de escopo, pois reflete exclusivamente o mercado formal regido pela Consolidação das Leis do Trabalho, omitindo profissionais autônomos, pessoas jurídicas, trabalhadores de plataformas digitais e egressos atuando no exterior. O instrumento declarado, ao contrário, é capaz de capturar precisamente essas categorias, o que reforça sua pertinência para um curso de tecnologia.</w:t>
      </w:r>
    </w:p>
    <w:p>
      <w:pPr>
        <w:spacing w:after="160" w:line="276"/>
        <w:jc w:val="both"/>
      </w:pPr>
      <w:r>
        <w:rPr>
          <w:sz w:val="22"/>
          <w:szCs w:val="22"/>
        </w:rPr>
        <w:t xml:space="preserve">Quanto à apropriação dos dados pela gestão, o projeto desenvolvido na Universidade Federal do Pampa concentrou-se na experiência dos coordenadores que despendem esforço elevado no rastreamento manual de egressos, e avaliou seu protótipo à luz dos vetores de utilidade percebida e facilidade de uso percebida propostos por Davis (1989), concluindo que a adoção do software depende decisivamente da clareza da interface gerencial (BASSO et al., 2024). Já a plataforma desenvolvida no Centro Federal de Educação Tecnológica de Minas Gerais para a Rede de Educação Profissional e Tecnológica evidencia a tendência de adoção de premissas de código aberto em soluções públicas, favorecendo a continuidade e a sucessão técnica dos projetos (COSTA; DIAS, 2023). Esse precedente é particularmente pertinente ao presente trabalho, que se propõe igualmente a entregar um artefato documentado e replicável, e não apenas uma configuração local.</w:t>
      </w:r>
    </w:p>
    <w:p>
      <w:pPr>
        <w:spacing w:after="160" w:line="276"/>
        <w:jc w:val="both"/>
      </w:pPr>
      <w:r>
        <w:rPr>
          <w:sz w:val="22"/>
          <w:szCs w:val="22"/>
        </w:rPr>
        <w:t xml:space="preserve">Por fim, o tratamento de dados pessoais de egressos submete-se à Lei nº 13.709, de 14 de agosto de 2018, que institui a Lei Geral de Proteção de Dados Pessoais. Políticas institucionais de referência estabelecem que o compartilhamento interno de microdados seja restrito ao cumprimento de obrigações legais, que o compartilhamento externo exija processos de anonimização e que o tratamento mantenha trilhas de auditoria com registro das bases legais invocadas (IFTO, 2021). O projeto adota os princípios de proteção de dados desde a concepção, incorporando o consentimento eletrônico e os controles de acesso já na etapa de modelagem do instrumento, ainda que, por delimitação metodológica, nenhuma etapa do trabalho envolva o tratamento de dados pessoais reais.</w:t>
      </w:r>
    </w:p>
    <w:p>
      <w:pPr>
        <w:pStyle w:val="Heading1"/>
        <w:spacing w:after="160" w:before="280"/>
      </w:pPr>
      <w:r>
        <w:rPr>
          <w:b/>
          <w:bCs/>
          <w:color w:val="1F3864"/>
          <w:sz w:val="26"/>
          <w:szCs w:val="26"/>
        </w:rPr>
        <w:t xml:space="preserve">Delimitação de Escopo e Considerações Éticas</w:t>
      </w:r>
    </w:p>
    <w:p>
      <w:pPr>
        <w:spacing w:after="160" w:line="276"/>
        <w:jc w:val="both"/>
      </w:pPr>
      <w:r>
        <w:rPr>
          <w:sz w:val="22"/>
          <w:szCs w:val="22"/>
        </w:rPr>
        <w:t xml:space="preserve">Este projeto concentra-se na dimensão tecnológica do mecanismo de acompanhamento, isto é, na infraestrutura de coleta, na modelagem da estrutura de dados e dos campos do instrumento, na rastreabilidade dos convites, na automação do contato, na conformidade legal do tratamento e na disponibilização dos dados resultantes. A definição do conteúdo temático e a redação final das questões, enquanto objeto de natureza pedagógica e metodológica, permanecem fora do escopo e constituem iniciativa distinta; o presente trabalho define a estrutura que acolherá tais questões, especificando tipos de campo, domínios de valores, obrigatoriedade e regras de navegação condicional, de modo que instrumentos revisados possam ser incorporados posteriormente sem alteração estrutural da solução.</w:t>
      </w:r>
    </w:p>
    <w:p>
      <w:pPr>
        <w:spacing w:after="160" w:line="276"/>
        <w:jc w:val="both"/>
      </w:pPr>
      <w:r>
        <w:rPr>
          <w:sz w:val="22"/>
          <w:szCs w:val="22"/>
        </w:rPr>
        <w:t xml:space="preserve">Delimita-se igualmente que o desenvolvimento ocorrerá em instância própria da plataforma, implantada pela equipe do projeto em infraestrutura de custo praticamente nulo, e não sobre o ambiente institucional em produção. Essa definição decorre de consulta prévia às instâncias competentes, que não autorizou a alteração do instrumento vigente, e converte-se em característica metodológica favorável: o artefato produzido não fica condicionado às particularidades de um ambiente específico, resultando em referencial de adoção mais ampla. A implantação do mecanismo em ambiente institucional de produção, bem como sua aplicação a uma base real de egressos, permanecem previstas como desdobramento futuro do trabalho, condicionadas à concessão dos acessos pertinentes e à prévia apreciação ética.</w:t>
      </w:r>
    </w:p>
    <w:p>
      <w:pPr>
        <w:spacing w:after="160" w:line="276"/>
        <w:jc w:val="both"/>
      </w:pPr>
      <w:r>
        <w:rPr>
          <w:sz w:val="22"/>
          <w:szCs w:val="22"/>
        </w:rPr>
        <w:t xml:space="preserve">Por decisão metodológica, o projeto não realizará coleta de dados junto a seres humanos. A validação do mecanismo ocorrerá exclusivamente por simulação controlada sobre base de participantes sintética, gerada por rotina própria que reproduz a estrutura e o volume esperados de uma base real, sem qualquer dado pessoal verdadeiro. Não haverá, portanto, convite, contato ou coleta de respostas de egressos reais em nenhuma etapa. Em consequência, o trabalho não se caracteriza como pesquisa com seres humanos, não sendo submetido ao Comitê de Ética em Pesquisa. Registre-se que a eventual aplicação futura do mecanismo a uma população real de egressos, por constituir pesquisa com seres humanos, deverá ser precedida da devida apreciação ética, o que se recomenda expressamente nas conclusões do trabalho.</w:t>
      </w:r>
    </w:p>
    <w:p>
      <w:pPr>
        <w:pStyle w:val="Heading1"/>
        <w:spacing w:after="160" w:before="280"/>
      </w:pPr>
      <w:r>
        <w:rPr>
          <w:b/>
          <w:bCs/>
          <w:color w:val="1F3864"/>
          <w:sz w:val="26"/>
          <w:szCs w:val="26"/>
        </w:rPr>
        <w:t xml:space="preserve">Objetivo Geral</w:t>
      </w:r>
    </w:p>
    <w:p>
      <w:pPr>
        <w:spacing w:after="160" w:line="276"/>
        <w:jc w:val="both"/>
      </w:pPr>
      <w:r>
        <w:rPr>
          <w:sz w:val="22"/>
          <w:szCs w:val="22"/>
        </w:rPr>
        <w:t xml:space="preserve">Desenvolver e validar, em instância própria da plataforma livre LimeSurvey, um mecanismo digital de acompanhamento de egressos dotado de rastreabilidade de participantes, automação do processo de convite e lembrete e controles de conformidade com a Lei Geral de Proteção de Dados, de modo a instalar no mecanismo a capacidade de cobrança sistemática que a literatura associa à elevação das taxas de resposta, constituindo prova de conceito documentada e replicável por instituições de ensino interessadas em acompanhar a situação profissional de seus egressos.</w:t>
      </w:r>
    </w:p>
    <w:p>
      <w:pPr>
        <w:pStyle w:val="Heading1"/>
        <w:spacing w:after="160" w:before="280"/>
      </w:pPr>
      <w:r>
        <w:rPr>
          <w:b/>
          <w:bCs/>
          <w:color w:val="1F3864"/>
          <w:sz w:val="26"/>
          <w:szCs w:val="26"/>
        </w:rPr>
        <w:t xml:space="preserve">Objetivos Específicos</w:t>
      </w:r>
    </w:p>
    <w:p>
      <w:pPr>
        <w:pStyle w:val="ListParagraph"/>
        <w:numPr>
          <w:ilvl w:val="0"/>
          <w:numId w:val="2"/>
        </w:numPr>
        <w:spacing w:after="100" w:line="276"/>
        <w:jc w:val="both"/>
      </w:pPr>
      <w:r>
        <w:rPr>
          <w:sz w:val="22"/>
          <w:szCs w:val="22"/>
        </w:rPr>
        <w:t xml:space="preserve">Realizar levantamento bibliográfico sobre mecanismos de acompanhamento de egressos, com ênfase nas estratégias de engajamento de respondentes adotadas por outras instituições e nos fatores associados às baixas taxas de resposta.</w:t>
      </w:r>
    </w:p>
    <w:p>
      <w:pPr>
        <w:pStyle w:val="ListParagraph"/>
        <w:numPr>
          <w:ilvl w:val="0"/>
          <w:numId w:val="2"/>
        </w:numPr>
        <w:spacing w:after="100" w:line="276"/>
        <w:jc w:val="both"/>
      </w:pPr>
      <w:r>
        <w:rPr>
          <w:sz w:val="22"/>
          <w:szCs w:val="22"/>
        </w:rPr>
        <w:t xml:space="preserve">Implantar instância própria da plataforma LimeSurvey em infraestrutura de custo praticamente nulo, documentando o processo de instalação e configuração de modo a permitir sua reprodução.</w:t>
      </w:r>
    </w:p>
    <w:p>
      <w:pPr>
        <w:pStyle w:val="ListParagraph"/>
        <w:numPr>
          <w:ilvl w:val="0"/>
          <w:numId w:val="2"/>
        </w:numPr>
        <w:spacing w:after="100" w:line="276"/>
        <w:jc w:val="both"/>
      </w:pPr>
      <w:r>
        <w:rPr>
          <w:sz w:val="22"/>
          <w:szCs w:val="22"/>
        </w:rPr>
        <w:t xml:space="preserve">Modelar a estrutura de dados e os campos do instrumento de coleta, definindo tipos, domínios de valores, obrigatoriedade e regras de navegação condicional, de forma independente do conteúdo temático das questões.</w:t>
      </w:r>
    </w:p>
    <w:p>
      <w:pPr>
        <w:pStyle w:val="ListParagraph"/>
        <w:numPr>
          <w:ilvl w:val="0"/>
          <w:numId w:val="2"/>
        </w:numPr>
        <w:spacing w:after="100" w:line="276"/>
        <w:jc w:val="both"/>
      </w:pPr>
      <w:r>
        <w:rPr>
          <w:sz w:val="22"/>
          <w:szCs w:val="22"/>
        </w:rPr>
        <w:t xml:space="preserve">Desenvolver rotina de geração de base sintética de participantes que reproduza a estrutura e o volume esperados de uma base institucional real, para fins de validação do mecanismo.</w:t>
      </w:r>
    </w:p>
    <w:p>
      <w:pPr>
        <w:pStyle w:val="ListParagraph"/>
        <w:numPr>
          <w:ilvl w:val="0"/>
          <w:numId w:val="2"/>
        </w:numPr>
        <w:spacing w:after="100" w:line="276"/>
        <w:jc w:val="both"/>
      </w:pPr>
      <w:r>
        <w:rPr>
          <w:sz w:val="22"/>
          <w:szCs w:val="22"/>
        </w:rPr>
        <w:t xml:space="preserve">Implementar o acesso rastreável por token, com pré-preenchimento de atributos acadêmicos, controle de duplicidade e identificação dos participantes ainda não respondentes.</w:t>
      </w:r>
    </w:p>
    <w:p>
      <w:pPr>
        <w:pStyle w:val="ListParagraph"/>
        <w:numPr>
          <w:ilvl w:val="0"/>
          <w:numId w:val="2"/>
        </w:numPr>
        <w:spacing w:after="100" w:line="276"/>
        <w:jc w:val="both"/>
      </w:pPr>
      <w:r>
        <w:rPr>
          <w:sz w:val="22"/>
          <w:szCs w:val="22"/>
        </w:rPr>
        <w:t xml:space="preserve">Implementar a automação do envio de convites e lembretes por meio de rotinas agendadas, parametrizando a cadência de disparo conforme as estratégias de engajamento identificadas na literatura.</w:t>
      </w:r>
    </w:p>
    <w:p>
      <w:pPr>
        <w:pStyle w:val="ListParagraph"/>
        <w:numPr>
          <w:ilvl w:val="0"/>
          <w:numId w:val="2"/>
        </w:numPr>
        <w:spacing w:after="100" w:line="276"/>
        <w:jc w:val="both"/>
      </w:pPr>
      <w:r>
        <w:rPr>
          <w:sz w:val="22"/>
          <w:szCs w:val="22"/>
        </w:rPr>
        <w:t xml:space="preserve">Implementar os controles de conformidade com a Lei Geral de Proteção de Dados, contemplando consentimento eletrônico registrado, opção de anonimização das respostas e trilha de auditoria do tratamento.</w:t>
      </w:r>
    </w:p>
    <w:p>
      <w:pPr>
        <w:pStyle w:val="ListParagraph"/>
        <w:numPr>
          <w:ilvl w:val="0"/>
          <w:numId w:val="2"/>
        </w:numPr>
        <w:spacing w:after="100" w:line="276"/>
        <w:jc w:val="both"/>
      </w:pPr>
      <w:r>
        <w:rPr>
          <w:sz w:val="22"/>
          <w:szCs w:val="22"/>
        </w:rPr>
        <w:t xml:space="preserve">Validar o mecanismo por simulação controlada, verificando o funcionamento de cada componente, e produzir documentação técnica, guia de replicação e relatório científico sobre a experiência.</w:t>
      </w:r>
    </w:p>
    <w:p>
      <w:pPr>
        <w:pStyle w:val="Heading1"/>
        <w:spacing w:after="160" w:before="280"/>
      </w:pPr>
      <w:r>
        <w:rPr>
          <w:b/>
          <w:bCs/>
          <w:color w:val="1F3864"/>
          <w:sz w:val="26"/>
          <w:szCs w:val="26"/>
        </w:rPr>
        <w:t xml:space="preserve">Especificação Técnica Preliminar</w:t>
      </w:r>
    </w:p>
    <w:p>
      <w:pPr>
        <w:spacing w:after="160" w:line="276"/>
        <w:jc w:val="both"/>
      </w:pPr>
      <w:r>
        <w:rPr>
          <w:sz w:val="22"/>
          <w:szCs w:val="22"/>
        </w:rPr>
        <w:t xml:space="preserve">Registram-se nesta seção as definições técnicas já estabelecidas na concepção do projeto, que orientarão a execução e constituem o ponto de partida das fases de implementação. Tais definições poderão ser refinadas ao longo do trabalho, mediante registro da justificativa no relatório final.</w:t>
      </w:r>
    </w:p>
    <w:p>
      <w:pPr>
        <w:spacing w:after="120" w:line="276"/>
        <w:jc w:val="both"/>
      </w:pPr>
      <w:r>
        <w:rPr>
          <w:sz w:val="22"/>
          <w:szCs w:val="22"/>
        </w:rPr>
        <w:t xml:space="preserve">O arquivo de entrada que popula a base de participantes observará o leiaute abaixo, cujos campos correspondem ao conjunto mínimo necessário à identificação, à segmentação e ao contato, em observância ao princípio da necessidade.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5900"/>
        <w:gridCol w:w="1000"/>
      </w:tblGrid>
      <w:tr>
        <w:trPr>
          <w:tblHeader/>
        </w:trPr>
        <w:tc>
          <w:tcPr>
            <w:tcW w:type="dxa" w:w="2100"/>
            <w:shd w:fill="DEE5F0" w:val="clear"/>
            <w:tcMar>
              <w:top w:type="dxa" w:w="60"/>
              <w:left w:type="dxa" w:w="90"/>
              <w:bottom w:type="dxa" w:w="60"/>
              <w:right w:type="dxa" w:w="90"/>
            </w:tcMar>
          </w:tcPr>
          <w:p>
            <w:pPr>
              <w:spacing w:after="0"/>
              <w:jc w:val="left"/>
            </w:pPr>
            <w:r>
              <w:rPr>
                <w:b/>
                <w:bCs/>
                <w:sz w:val="20"/>
                <w:szCs w:val="20"/>
              </w:rPr>
              <w:t xml:space="preserve">Campo</w:t>
            </w:r>
          </w:p>
        </w:tc>
        <w:tc>
          <w:tcPr>
            <w:tcW w:type="dxa" w:w="5900"/>
            <w:shd w:fill="DEE5F0" w:val="clear"/>
            <w:tcMar>
              <w:top w:type="dxa" w:w="60"/>
              <w:left w:type="dxa" w:w="90"/>
              <w:bottom w:type="dxa" w:w="60"/>
              <w:right w:type="dxa" w:w="90"/>
            </w:tcMar>
          </w:tcPr>
          <w:p>
            <w:pPr>
              <w:spacing w:after="0"/>
              <w:jc w:val="left"/>
            </w:pPr>
            <w:r>
              <w:rPr>
                <w:b/>
                <w:bCs/>
                <w:sz w:val="20"/>
                <w:szCs w:val="20"/>
              </w:rPr>
              <w:t xml:space="preserve">Descrição</w:t>
            </w:r>
          </w:p>
        </w:tc>
        <w:tc>
          <w:tcPr>
            <w:tcW w:type="dxa" w:w="1000"/>
            <w:shd w:fill="DEE5F0" w:val="clear"/>
            <w:tcMar>
              <w:top w:type="dxa" w:w="60"/>
              <w:left w:type="dxa" w:w="90"/>
              <w:bottom w:type="dxa" w:w="60"/>
              <w:right w:type="dxa" w:w="90"/>
            </w:tcMar>
          </w:tcPr>
          <w:p>
            <w:pPr>
              <w:spacing w:after="0"/>
              <w:jc w:val="left"/>
            </w:pPr>
            <w:r>
              <w:rPr>
                <w:b/>
                <w:bCs/>
                <w:sz w:val="20"/>
                <w:szCs w:val="20"/>
              </w:rPr>
              <w:t xml:space="preserve">Obrig.</w:t>
            </w:r>
          </w:p>
        </w:tc>
      </w:tr>
      <w:tr>
        <w:tc>
          <w:tcPr>
            <w:tcW w:type="dxa" w:w="2100"/>
            <w:tcMar>
              <w:top w:type="dxa" w:w="60"/>
              <w:left w:type="dxa" w:w="90"/>
              <w:bottom w:type="dxa" w:w="60"/>
              <w:right w:type="dxa" w:w="90"/>
            </w:tcMar>
          </w:tcPr>
          <w:p>
            <w:pPr>
              <w:spacing w:after="0"/>
              <w:jc w:val="left"/>
            </w:pPr>
            <w:r>
              <w:rPr>
                <w:sz w:val="20"/>
                <w:szCs w:val="20"/>
              </w:rPr>
              <w:t xml:space="preserve">identificador</w:t>
            </w:r>
          </w:p>
        </w:tc>
        <w:tc>
          <w:tcPr>
            <w:tcW w:type="dxa" w:w="5900"/>
            <w:tcMar>
              <w:top w:type="dxa" w:w="60"/>
              <w:left w:type="dxa" w:w="90"/>
              <w:bottom w:type="dxa" w:w="60"/>
              <w:right w:type="dxa" w:w="90"/>
            </w:tcMar>
          </w:tcPr>
          <w:p>
            <w:pPr>
              <w:spacing w:after="0"/>
              <w:jc w:val="left"/>
            </w:pPr>
            <w:r>
              <w:rPr>
                <w:sz w:val="20"/>
                <w:szCs w:val="20"/>
              </w:rPr>
              <w:t xml:space="preserve">Código único do registro na base de origem, usado para deduplicação</w:t>
            </w:r>
          </w:p>
        </w:tc>
        <w:tc>
          <w:tcPr>
            <w:tcW w:type="dxa" w:w="1000"/>
            <w:tcMar>
              <w:top w:type="dxa" w:w="60"/>
              <w:left w:type="dxa" w:w="90"/>
              <w:bottom w:type="dxa" w:w="60"/>
              <w:right w:type="dxa" w:w="90"/>
            </w:tcMar>
          </w:tcPr>
          <w:p>
            <w:pPr>
              <w:spacing w:after="0"/>
              <w:jc w:val="left"/>
            </w:pPr>
            <w:r>
              <w:rPr>
                <w:sz w:val="20"/>
                <w:szCs w:val="20"/>
              </w:rPr>
              <w:t xml:space="preserve">Sim</w:t>
            </w:r>
          </w:p>
        </w:tc>
      </w:tr>
      <w:tr>
        <w:tc>
          <w:tcPr>
            <w:tcW w:type="dxa" w:w="2100"/>
            <w:tcMar>
              <w:top w:type="dxa" w:w="60"/>
              <w:left w:type="dxa" w:w="90"/>
              <w:bottom w:type="dxa" w:w="60"/>
              <w:right w:type="dxa" w:w="90"/>
            </w:tcMar>
          </w:tcPr>
          <w:p>
            <w:pPr>
              <w:spacing w:after="0"/>
              <w:jc w:val="left"/>
            </w:pPr>
            <w:r>
              <w:rPr>
                <w:sz w:val="20"/>
                <w:szCs w:val="20"/>
              </w:rPr>
              <w:t xml:space="preserve">nome</w:t>
            </w:r>
          </w:p>
        </w:tc>
        <w:tc>
          <w:tcPr>
            <w:tcW w:type="dxa" w:w="5900"/>
            <w:tcMar>
              <w:top w:type="dxa" w:w="60"/>
              <w:left w:type="dxa" w:w="90"/>
              <w:bottom w:type="dxa" w:w="60"/>
              <w:right w:type="dxa" w:w="90"/>
            </w:tcMar>
          </w:tcPr>
          <w:p>
            <w:pPr>
              <w:spacing w:after="0"/>
              <w:jc w:val="left"/>
            </w:pPr>
            <w:r>
              <w:rPr>
                <w:sz w:val="20"/>
                <w:szCs w:val="20"/>
              </w:rPr>
              <w:t xml:space="preserve">Nome completo do egresso</w:t>
            </w:r>
          </w:p>
        </w:tc>
        <w:tc>
          <w:tcPr>
            <w:tcW w:type="dxa" w:w="1000"/>
            <w:tcMar>
              <w:top w:type="dxa" w:w="60"/>
              <w:left w:type="dxa" w:w="90"/>
              <w:bottom w:type="dxa" w:w="60"/>
              <w:right w:type="dxa" w:w="90"/>
            </w:tcMar>
          </w:tcPr>
          <w:p>
            <w:pPr>
              <w:spacing w:after="0"/>
              <w:jc w:val="left"/>
            </w:pPr>
            <w:r>
              <w:rPr>
                <w:sz w:val="20"/>
                <w:szCs w:val="20"/>
              </w:rPr>
              <w:t xml:space="preserve">Sim</w:t>
            </w:r>
          </w:p>
        </w:tc>
      </w:tr>
      <w:tr>
        <w:tc>
          <w:tcPr>
            <w:tcW w:type="dxa" w:w="2100"/>
            <w:tcMar>
              <w:top w:type="dxa" w:w="60"/>
              <w:left w:type="dxa" w:w="90"/>
              <w:bottom w:type="dxa" w:w="60"/>
              <w:right w:type="dxa" w:w="90"/>
            </w:tcMar>
          </w:tcPr>
          <w:p>
            <w:pPr>
              <w:spacing w:after="0"/>
              <w:jc w:val="left"/>
            </w:pPr>
            <w:r>
              <w:rPr>
                <w:sz w:val="20"/>
                <w:szCs w:val="20"/>
              </w:rPr>
              <w:t xml:space="preserve">curso</w:t>
            </w:r>
          </w:p>
        </w:tc>
        <w:tc>
          <w:tcPr>
            <w:tcW w:type="dxa" w:w="5900"/>
            <w:tcMar>
              <w:top w:type="dxa" w:w="60"/>
              <w:left w:type="dxa" w:w="90"/>
              <w:bottom w:type="dxa" w:w="60"/>
              <w:right w:type="dxa" w:w="90"/>
            </w:tcMar>
          </w:tcPr>
          <w:p>
            <w:pPr>
              <w:spacing w:after="0"/>
              <w:jc w:val="left"/>
            </w:pPr>
            <w:r>
              <w:rPr>
                <w:sz w:val="20"/>
                <w:szCs w:val="20"/>
              </w:rPr>
              <w:t xml:space="preserve">Nome padronizado do curso concluído</w:t>
            </w:r>
          </w:p>
        </w:tc>
        <w:tc>
          <w:tcPr>
            <w:tcW w:type="dxa" w:w="1000"/>
            <w:tcMar>
              <w:top w:type="dxa" w:w="60"/>
              <w:left w:type="dxa" w:w="90"/>
              <w:bottom w:type="dxa" w:w="60"/>
              <w:right w:type="dxa" w:w="90"/>
            </w:tcMar>
          </w:tcPr>
          <w:p>
            <w:pPr>
              <w:spacing w:after="0"/>
              <w:jc w:val="left"/>
            </w:pPr>
            <w:r>
              <w:rPr>
                <w:sz w:val="20"/>
                <w:szCs w:val="20"/>
              </w:rPr>
              <w:t xml:space="preserve">Sim</w:t>
            </w:r>
          </w:p>
        </w:tc>
      </w:tr>
      <w:tr>
        <w:tc>
          <w:tcPr>
            <w:tcW w:type="dxa" w:w="2100"/>
            <w:tcMar>
              <w:top w:type="dxa" w:w="60"/>
              <w:left w:type="dxa" w:w="90"/>
              <w:bottom w:type="dxa" w:w="60"/>
              <w:right w:type="dxa" w:w="90"/>
            </w:tcMar>
          </w:tcPr>
          <w:p>
            <w:pPr>
              <w:spacing w:after="0"/>
              <w:jc w:val="left"/>
            </w:pPr>
            <w:r>
              <w:rPr>
                <w:sz w:val="20"/>
                <w:szCs w:val="20"/>
              </w:rPr>
              <w:t xml:space="preserve">campus</w:t>
            </w:r>
          </w:p>
        </w:tc>
        <w:tc>
          <w:tcPr>
            <w:tcW w:type="dxa" w:w="5900"/>
            <w:tcMar>
              <w:top w:type="dxa" w:w="60"/>
              <w:left w:type="dxa" w:w="90"/>
              <w:bottom w:type="dxa" w:w="60"/>
              <w:right w:type="dxa" w:w="90"/>
            </w:tcMar>
          </w:tcPr>
          <w:p>
            <w:pPr>
              <w:spacing w:after="0"/>
              <w:jc w:val="left"/>
            </w:pPr>
            <w:r>
              <w:rPr>
                <w:sz w:val="20"/>
                <w:szCs w:val="20"/>
              </w:rPr>
              <w:t xml:space="preserve">Unidade de conclusão</w:t>
            </w:r>
          </w:p>
        </w:tc>
        <w:tc>
          <w:tcPr>
            <w:tcW w:type="dxa" w:w="1000"/>
            <w:tcMar>
              <w:top w:type="dxa" w:w="60"/>
              <w:left w:type="dxa" w:w="90"/>
              <w:bottom w:type="dxa" w:w="60"/>
              <w:right w:type="dxa" w:w="90"/>
            </w:tcMar>
          </w:tcPr>
          <w:p>
            <w:pPr>
              <w:spacing w:after="0"/>
              <w:jc w:val="left"/>
            </w:pPr>
            <w:r>
              <w:rPr>
                <w:sz w:val="20"/>
                <w:szCs w:val="20"/>
              </w:rPr>
              <w:t xml:space="preserve">Sim</w:t>
            </w:r>
          </w:p>
        </w:tc>
      </w:tr>
      <w:tr>
        <w:tc>
          <w:tcPr>
            <w:tcW w:type="dxa" w:w="2100"/>
            <w:tcMar>
              <w:top w:type="dxa" w:w="60"/>
              <w:left w:type="dxa" w:w="90"/>
              <w:bottom w:type="dxa" w:w="60"/>
              <w:right w:type="dxa" w:w="90"/>
            </w:tcMar>
          </w:tcPr>
          <w:p>
            <w:pPr>
              <w:spacing w:after="0"/>
              <w:jc w:val="left"/>
            </w:pPr>
            <w:r>
              <w:rPr>
                <w:sz w:val="20"/>
                <w:szCs w:val="20"/>
              </w:rPr>
              <w:t xml:space="preserve">ano_conclusao</w:t>
            </w:r>
          </w:p>
        </w:tc>
        <w:tc>
          <w:tcPr>
            <w:tcW w:type="dxa" w:w="5900"/>
            <w:tcMar>
              <w:top w:type="dxa" w:w="60"/>
              <w:left w:type="dxa" w:w="90"/>
              <w:bottom w:type="dxa" w:w="60"/>
              <w:right w:type="dxa" w:w="90"/>
            </w:tcMar>
          </w:tcPr>
          <w:p>
            <w:pPr>
              <w:spacing w:after="0"/>
              <w:jc w:val="left"/>
            </w:pPr>
            <w:r>
              <w:rPr>
                <w:sz w:val="20"/>
                <w:szCs w:val="20"/>
              </w:rPr>
              <w:t xml:space="preserve">Ano de conclusão do curso</w:t>
            </w:r>
          </w:p>
        </w:tc>
        <w:tc>
          <w:tcPr>
            <w:tcW w:type="dxa" w:w="1000"/>
            <w:tcMar>
              <w:top w:type="dxa" w:w="60"/>
              <w:left w:type="dxa" w:w="90"/>
              <w:bottom w:type="dxa" w:w="60"/>
              <w:right w:type="dxa" w:w="90"/>
            </w:tcMar>
          </w:tcPr>
          <w:p>
            <w:pPr>
              <w:spacing w:after="0"/>
              <w:jc w:val="left"/>
            </w:pPr>
            <w:r>
              <w:rPr>
                <w:sz w:val="20"/>
                <w:szCs w:val="20"/>
              </w:rPr>
              <w:t xml:space="preserve">Sim</w:t>
            </w:r>
          </w:p>
        </w:tc>
      </w:tr>
      <w:tr>
        <w:tc>
          <w:tcPr>
            <w:tcW w:type="dxa" w:w="2100"/>
            <w:tcMar>
              <w:top w:type="dxa" w:w="60"/>
              <w:left w:type="dxa" w:w="90"/>
              <w:bottom w:type="dxa" w:w="60"/>
              <w:right w:type="dxa" w:w="90"/>
            </w:tcMar>
          </w:tcPr>
          <w:p>
            <w:pPr>
              <w:spacing w:after="0"/>
              <w:jc w:val="left"/>
            </w:pPr>
            <w:r>
              <w:rPr>
                <w:sz w:val="20"/>
                <w:szCs w:val="20"/>
              </w:rPr>
              <w:t xml:space="preserve">semestre_conclusao</w:t>
            </w:r>
          </w:p>
        </w:tc>
        <w:tc>
          <w:tcPr>
            <w:tcW w:type="dxa" w:w="5900"/>
            <w:tcMar>
              <w:top w:type="dxa" w:w="60"/>
              <w:left w:type="dxa" w:w="90"/>
              <w:bottom w:type="dxa" w:w="60"/>
              <w:right w:type="dxa" w:w="90"/>
            </w:tcMar>
          </w:tcPr>
          <w:p>
            <w:pPr>
              <w:spacing w:after="0"/>
              <w:jc w:val="left"/>
            </w:pPr>
            <w:r>
              <w:rPr>
                <w:sz w:val="20"/>
                <w:szCs w:val="20"/>
              </w:rPr>
              <w:t xml:space="preserve">Semestre de conclusão (1 ou 2)</w:t>
            </w:r>
          </w:p>
        </w:tc>
        <w:tc>
          <w:tcPr>
            <w:tcW w:type="dxa" w:w="1000"/>
            <w:tcMar>
              <w:top w:type="dxa" w:w="60"/>
              <w:left w:type="dxa" w:w="90"/>
              <w:bottom w:type="dxa" w:w="60"/>
              <w:right w:type="dxa" w:w="90"/>
            </w:tcMar>
          </w:tcPr>
          <w:p>
            <w:pPr>
              <w:spacing w:after="0"/>
              <w:jc w:val="left"/>
            </w:pPr>
            <w:r>
              <w:rPr>
                <w:sz w:val="20"/>
                <w:szCs w:val="20"/>
              </w:rPr>
              <w:t xml:space="preserve">Sim</w:t>
            </w:r>
          </w:p>
        </w:tc>
      </w:tr>
      <w:tr>
        <w:tc>
          <w:tcPr>
            <w:tcW w:type="dxa" w:w="2100"/>
            <w:tcMar>
              <w:top w:type="dxa" w:w="60"/>
              <w:left w:type="dxa" w:w="90"/>
              <w:bottom w:type="dxa" w:w="60"/>
              <w:right w:type="dxa" w:w="90"/>
            </w:tcMar>
          </w:tcPr>
          <w:p>
            <w:pPr>
              <w:spacing w:after="0"/>
              <w:jc w:val="left"/>
            </w:pPr>
            <w:r>
              <w:rPr>
                <w:sz w:val="20"/>
                <w:szCs w:val="20"/>
              </w:rPr>
              <w:t xml:space="preserve">email_principal</w:t>
            </w:r>
          </w:p>
        </w:tc>
        <w:tc>
          <w:tcPr>
            <w:tcW w:type="dxa" w:w="5900"/>
            <w:tcMar>
              <w:top w:type="dxa" w:w="60"/>
              <w:left w:type="dxa" w:w="90"/>
              <w:bottom w:type="dxa" w:w="60"/>
              <w:right w:type="dxa" w:w="90"/>
            </w:tcMar>
          </w:tcPr>
          <w:p>
            <w:pPr>
              <w:spacing w:after="0"/>
              <w:jc w:val="left"/>
            </w:pPr>
            <w:r>
              <w:rPr>
                <w:sz w:val="20"/>
                <w:szCs w:val="20"/>
              </w:rPr>
              <w:t xml:space="preserve">Endereço de correio eletrônico para contato</w:t>
            </w:r>
          </w:p>
        </w:tc>
        <w:tc>
          <w:tcPr>
            <w:tcW w:type="dxa" w:w="1000"/>
            <w:tcMar>
              <w:top w:type="dxa" w:w="60"/>
              <w:left w:type="dxa" w:w="90"/>
              <w:bottom w:type="dxa" w:w="60"/>
              <w:right w:type="dxa" w:w="90"/>
            </w:tcMar>
          </w:tcPr>
          <w:p>
            <w:pPr>
              <w:spacing w:after="0"/>
              <w:jc w:val="left"/>
            </w:pPr>
            <w:r>
              <w:rPr>
                <w:sz w:val="20"/>
                <w:szCs w:val="20"/>
              </w:rPr>
              <w:t xml:space="preserve">Sim</w:t>
            </w:r>
          </w:p>
        </w:tc>
      </w:tr>
      <w:tr>
        <w:tc>
          <w:tcPr>
            <w:tcW w:type="dxa" w:w="2100"/>
            <w:tcMar>
              <w:top w:type="dxa" w:w="60"/>
              <w:left w:type="dxa" w:w="90"/>
              <w:bottom w:type="dxa" w:w="60"/>
              <w:right w:type="dxa" w:w="90"/>
            </w:tcMar>
          </w:tcPr>
          <w:p>
            <w:pPr>
              <w:spacing w:after="0"/>
              <w:jc w:val="left"/>
            </w:pPr>
            <w:r>
              <w:rPr>
                <w:sz w:val="20"/>
                <w:szCs w:val="20"/>
              </w:rPr>
              <w:t xml:space="preserve">email_alternativo</w:t>
            </w:r>
          </w:p>
        </w:tc>
        <w:tc>
          <w:tcPr>
            <w:tcW w:type="dxa" w:w="5900"/>
            <w:tcMar>
              <w:top w:type="dxa" w:w="60"/>
              <w:left w:type="dxa" w:w="90"/>
              <w:bottom w:type="dxa" w:w="60"/>
              <w:right w:type="dxa" w:w="90"/>
            </w:tcMar>
          </w:tcPr>
          <w:p>
            <w:pPr>
              <w:spacing w:after="0"/>
              <w:jc w:val="left"/>
            </w:pPr>
            <w:r>
              <w:rPr>
                <w:sz w:val="20"/>
                <w:szCs w:val="20"/>
              </w:rPr>
              <w:t xml:space="preserve">Endereço secundário, quando houver</w:t>
            </w:r>
          </w:p>
        </w:tc>
        <w:tc>
          <w:tcPr>
            <w:tcW w:type="dxa" w:w="1000"/>
            <w:tcMar>
              <w:top w:type="dxa" w:w="60"/>
              <w:left w:type="dxa" w:w="90"/>
              <w:bottom w:type="dxa" w:w="60"/>
              <w:right w:type="dxa" w:w="90"/>
            </w:tcMar>
          </w:tcPr>
          <w:p>
            <w:pPr>
              <w:spacing w:after="0"/>
              <w:jc w:val="left"/>
            </w:pPr>
            <w:r>
              <w:rPr>
                <w:sz w:val="20"/>
                <w:szCs w:val="20"/>
              </w:rPr>
              <w:t xml:space="preserve">Não</w:t>
            </w:r>
          </w:p>
        </w:tc>
      </w:tr>
      <w:tr>
        <w:tc>
          <w:tcPr>
            <w:tcW w:type="dxa" w:w="2100"/>
            <w:tcMar>
              <w:top w:type="dxa" w:w="60"/>
              <w:left w:type="dxa" w:w="90"/>
              <w:bottom w:type="dxa" w:w="60"/>
              <w:right w:type="dxa" w:w="90"/>
            </w:tcMar>
          </w:tcPr>
          <w:p>
            <w:pPr>
              <w:spacing w:after="0"/>
              <w:jc w:val="left"/>
            </w:pPr>
            <w:r>
              <w:rPr>
                <w:sz w:val="20"/>
                <w:szCs w:val="20"/>
              </w:rPr>
              <w:t xml:space="preserve">telefone</w:t>
            </w:r>
          </w:p>
        </w:tc>
        <w:tc>
          <w:tcPr>
            <w:tcW w:type="dxa" w:w="5900"/>
            <w:tcMar>
              <w:top w:type="dxa" w:w="60"/>
              <w:left w:type="dxa" w:w="90"/>
              <w:bottom w:type="dxa" w:w="60"/>
              <w:right w:type="dxa" w:w="90"/>
            </w:tcMar>
          </w:tcPr>
          <w:p>
            <w:pPr>
              <w:spacing w:after="0"/>
              <w:jc w:val="left"/>
            </w:pPr>
            <w:r>
              <w:rPr>
                <w:sz w:val="20"/>
                <w:szCs w:val="20"/>
              </w:rPr>
              <w:t xml:space="preserve">Contato telefônico com código de área</w:t>
            </w:r>
          </w:p>
        </w:tc>
        <w:tc>
          <w:tcPr>
            <w:tcW w:type="dxa" w:w="1000"/>
            <w:tcMar>
              <w:top w:type="dxa" w:w="60"/>
              <w:left w:type="dxa" w:w="90"/>
              <w:bottom w:type="dxa" w:w="60"/>
              <w:right w:type="dxa" w:w="90"/>
            </w:tcMar>
          </w:tcPr>
          <w:p>
            <w:pPr>
              <w:spacing w:after="0"/>
              <w:jc w:val="left"/>
            </w:pPr>
            <w:r>
              <w:rPr>
                <w:sz w:val="20"/>
                <w:szCs w:val="20"/>
              </w:rPr>
              <w:t xml:space="preserve">Não</w:t>
            </w:r>
          </w:p>
        </w:tc>
      </w:tr>
    </w:tbl>
    <w:p>
      <w:pPr>
        <w:spacing w:after="180"/>
      </w:pPr>
    </w:p>
    <w:p>
      <w:pPr>
        <w:spacing w:after="120" w:line="276"/>
        <w:jc w:val="both"/>
      </w:pPr>
      <w:r>
        <w:rPr>
          <w:sz w:val="22"/>
          <w:szCs w:val="22"/>
        </w:rPr>
        <w:t xml:space="preserve">O instrumento de coleta organiza-se nos blocos estruturais abaixo. Cada bloco é definido por sua finalidade estrutural e pelo indicador que alimenta, de modo que campo sem indicador correspondente não integra o instrumento. Reitera-se que a redação e o conteúdo temático das questões de cada bloco provêm de projeto correlato e ingressam neste trabalho como requisito de entrada, cabendo aqui a definição do contêiner que as acolherá.</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3800"/>
        <w:gridCol w:w="3100"/>
      </w:tblGrid>
      <w:tr>
        <w:trPr>
          <w:tblHeader/>
        </w:trPr>
        <w:tc>
          <w:tcPr>
            <w:tcW w:type="dxa" w:w="2100"/>
            <w:shd w:fill="DEE5F0" w:val="clear"/>
            <w:tcMar>
              <w:top w:type="dxa" w:w="60"/>
              <w:left w:type="dxa" w:w="90"/>
              <w:bottom w:type="dxa" w:w="60"/>
              <w:right w:type="dxa" w:w="90"/>
            </w:tcMar>
          </w:tcPr>
          <w:p>
            <w:pPr>
              <w:spacing w:after="0"/>
              <w:jc w:val="left"/>
            </w:pPr>
            <w:r>
              <w:rPr>
                <w:b/>
                <w:bCs/>
                <w:sz w:val="20"/>
                <w:szCs w:val="20"/>
              </w:rPr>
              <w:t xml:space="preserve">Bloco</w:t>
            </w:r>
          </w:p>
        </w:tc>
        <w:tc>
          <w:tcPr>
            <w:tcW w:type="dxa" w:w="3800"/>
            <w:shd w:fill="DEE5F0" w:val="clear"/>
            <w:tcMar>
              <w:top w:type="dxa" w:w="60"/>
              <w:left w:type="dxa" w:w="90"/>
              <w:bottom w:type="dxa" w:w="60"/>
              <w:right w:type="dxa" w:w="90"/>
            </w:tcMar>
          </w:tcPr>
          <w:p>
            <w:pPr>
              <w:spacing w:after="0"/>
              <w:jc w:val="left"/>
            </w:pPr>
            <w:r>
              <w:rPr>
                <w:b/>
                <w:bCs/>
                <w:sz w:val="20"/>
                <w:szCs w:val="20"/>
              </w:rPr>
              <w:t xml:space="preserve">Finalidade estrutural</w:t>
            </w:r>
          </w:p>
        </w:tc>
        <w:tc>
          <w:tcPr>
            <w:tcW w:type="dxa" w:w="3100"/>
            <w:shd w:fill="DEE5F0" w:val="clear"/>
            <w:tcMar>
              <w:top w:type="dxa" w:w="60"/>
              <w:left w:type="dxa" w:w="90"/>
              <w:bottom w:type="dxa" w:w="60"/>
              <w:right w:type="dxa" w:w="90"/>
            </w:tcMar>
          </w:tcPr>
          <w:p>
            <w:pPr>
              <w:spacing w:after="0"/>
              <w:jc w:val="left"/>
            </w:pPr>
            <w:r>
              <w:rPr>
                <w:b/>
                <w:bCs/>
                <w:sz w:val="20"/>
                <w:szCs w:val="20"/>
              </w:rPr>
              <w:t xml:space="preserve">Indicador alimentado</w:t>
            </w:r>
          </w:p>
        </w:tc>
      </w:tr>
      <w:tr>
        <w:tc>
          <w:tcPr>
            <w:tcW w:type="dxa" w:w="2100"/>
            <w:tcMar>
              <w:top w:type="dxa" w:w="60"/>
              <w:left w:type="dxa" w:w="90"/>
              <w:bottom w:type="dxa" w:w="60"/>
              <w:right w:type="dxa" w:w="90"/>
            </w:tcMar>
          </w:tcPr>
          <w:p>
            <w:pPr>
              <w:spacing w:after="0"/>
              <w:jc w:val="left"/>
            </w:pPr>
            <w:r>
              <w:rPr>
                <w:sz w:val="20"/>
                <w:szCs w:val="20"/>
              </w:rPr>
              <w:t xml:space="preserve">1. Consentimento</w:t>
            </w:r>
          </w:p>
        </w:tc>
        <w:tc>
          <w:tcPr>
            <w:tcW w:type="dxa" w:w="3800"/>
            <w:tcMar>
              <w:top w:type="dxa" w:w="60"/>
              <w:left w:type="dxa" w:w="90"/>
              <w:bottom w:type="dxa" w:w="60"/>
              <w:right w:type="dxa" w:w="90"/>
            </w:tcMar>
          </w:tcPr>
          <w:p>
            <w:pPr>
              <w:spacing w:after="0"/>
              <w:jc w:val="left"/>
            </w:pPr>
            <w:r>
              <w:rPr>
                <w:sz w:val="20"/>
                <w:szCs w:val="20"/>
              </w:rPr>
              <w:t xml:space="preserve">Registro de aceite, data e versão do termo</w:t>
            </w:r>
          </w:p>
        </w:tc>
        <w:tc>
          <w:tcPr>
            <w:tcW w:type="dxa" w:w="3100"/>
            <w:tcMar>
              <w:top w:type="dxa" w:w="60"/>
              <w:left w:type="dxa" w:w="90"/>
              <w:bottom w:type="dxa" w:w="60"/>
              <w:right w:type="dxa" w:w="90"/>
            </w:tcMar>
          </w:tcPr>
          <w:p>
            <w:pPr>
              <w:spacing w:after="0"/>
              <w:jc w:val="left"/>
            </w:pPr>
            <w:r>
              <w:rPr>
                <w:sz w:val="20"/>
                <w:szCs w:val="20"/>
              </w:rPr>
              <w:t xml:space="preserve">Conformidade legal do tratamento</w:t>
            </w:r>
          </w:p>
        </w:tc>
      </w:tr>
      <w:tr>
        <w:tc>
          <w:tcPr>
            <w:tcW w:type="dxa" w:w="2100"/>
            <w:tcMar>
              <w:top w:type="dxa" w:w="60"/>
              <w:left w:type="dxa" w:w="90"/>
              <w:bottom w:type="dxa" w:w="60"/>
              <w:right w:type="dxa" w:w="90"/>
            </w:tcMar>
          </w:tcPr>
          <w:p>
            <w:pPr>
              <w:spacing w:after="0"/>
              <w:jc w:val="left"/>
            </w:pPr>
            <w:r>
              <w:rPr>
                <w:sz w:val="20"/>
                <w:szCs w:val="20"/>
              </w:rPr>
              <w:t xml:space="preserve">2. Identificação acadêmica</w:t>
            </w:r>
          </w:p>
        </w:tc>
        <w:tc>
          <w:tcPr>
            <w:tcW w:type="dxa" w:w="3800"/>
            <w:tcMar>
              <w:top w:type="dxa" w:w="60"/>
              <w:left w:type="dxa" w:w="90"/>
              <w:bottom w:type="dxa" w:w="60"/>
              <w:right w:type="dxa" w:w="90"/>
            </w:tcMar>
          </w:tcPr>
          <w:p>
            <w:pPr>
              <w:spacing w:after="0"/>
              <w:jc w:val="left"/>
            </w:pPr>
            <w:r>
              <w:rPr>
                <w:sz w:val="20"/>
                <w:szCs w:val="20"/>
              </w:rPr>
              <w:t xml:space="preserve">Confirmação ou correção dos atributos pré-preenchidos</w:t>
            </w:r>
          </w:p>
        </w:tc>
        <w:tc>
          <w:tcPr>
            <w:tcW w:type="dxa" w:w="3100"/>
            <w:tcMar>
              <w:top w:type="dxa" w:w="60"/>
              <w:left w:type="dxa" w:w="90"/>
              <w:bottom w:type="dxa" w:w="60"/>
              <w:right w:type="dxa" w:w="90"/>
            </w:tcMar>
          </w:tcPr>
          <w:p>
            <w:pPr>
              <w:spacing w:after="0"/>
              <w:jc w:val="left"/>
            </w:pPr>
            <w:r>
              <w:rPr>
                <w:sz w:val="20"/>
                <w:szCs w:val="20"/>
              </w:rPr>
              <w:t xml:space="preserve">Segmentação por curso, campus e ano</w:t>
            </w:r>
          </w:p>
        </w:tc>
      </w:tr>
      <w:tr>
        <w:tc>
          <w:tcPr>
            <w:tcW w:type="dxa" w:w="2100"/>
            <w:tcMar>
              <w:top w:type="dxa" w:w="60"/>
              <w:left w:type="dxa" w:w="90"/>
              <w:bottom w:type="dxa" w:w="60"/>
              <w:right w:type="dxa" w:w="90"/>
            </w:tcMar>
          </w:tcPr>
          <w:p>
            <w:pPr>
              <w:spacing w:after="0"/>
              <w:jc w:val="left"/>
            </w:pPr>
            <w:r>
              <w:rPr>
                <w:sz w:val="20"/>
                <w:szCs w:val="20"/>
              </w:rPr>
              <w:t xml:space="preserve">3. Situação ocupacional</w:t>
            </w:r>
          </w:p>
        </w:tc>
        <w:tc>
          <w:tcPr>
            <w:tcW w:type="dxa" w:w="3800"/>
            <w:tcMar>
              <w:top w:type="dxa" w:w="60"/>
              <w:left w:type="dxa" w:w="90"/>
              <w:bottom w:type="dxa" w:w="60"/>
              <w:right w:type="dxa" w:w="90"/>
            </w:tcMar>
          </w:tcPr>
          <w:p>
            <w:pPr>
              <w:spacing w:after="0"/>
              <w:jc w:val="left"/>
            </w:pPr>
            <w:r>
              <w:rPr>
                <w:sz w:val="20"/>
                <w:szCs w:val="20"/>
              </w:rPr>
              <w:t xml:space="preserve">Vínculo atual, em domínio fechado de valores</w:t>
            </w:r>
          </w:p>
        </w:tc>
        <w:tc>
          <w:tcPr>
            <w:tcW w:type="dxa" w:w="3100"/>
            <w:tcMar>
              <w:top w:type="dxa" w:w="60"/>
              <w:left w:type="dxa" w:w="90"/>
              <w:bottom w:type="dxa" w:w="60"/>
              <w:right w:type="dxa" w:w="90"/>
            </w:tcMar>
          </w:tcPr>
          <w:p>
            <w:pPr>
              <w:spacing w:after="0"/>
              <w:jc w:val="left"/>
            </w:pPr>
            <w:r>
              <w:rPr>
                <w:sz w:val="20"/>
                <w:szCs w:val="20"/>
              </w:rPr>
              <w:t xml:space="preserve">Taxa de ocupação e distribuição por vínculo</w:t>
            </w:r>
          </w:p>
        </w:tc>
      </w:tr>
      <w:tr>
        <w:tc>
          <w:tcPr>
            <w:tcW w:type="dxa" w:w="2100"/>
            <w:tcMar>
              <w:top w:type="dxa" w:w="60"/>
              <w:left w:type="dxa" w:w="90"/>
              <w:bottom w:type="dxa" w:w="60"/>
              <w:right w:type="dxa" w:w="90"/>
            </w:tcMar>
          </w:tcPr>
          <w:p>
            <w:pPr>
              <w:spacing w:after="0"/>
              <w:jc w:val="left"/>
            </w:pPr>
            <w:r>
              <w:rPr>
                <w:sz w:val="20"/>
                <w:szCs w:val="20"/>
              </w:rPr>
              <w:t xml:space="preserve">4. Caracterização da atuação</w:t>
            </w:r>
          </w:p>
        </w:tc>
        <w:tc>
          <w:tcPr>
            <w:tcW w:type="dxa" w:w="3800"/>
            <w:tcMar>
              <w:top w:type="dxa" w:w="60"/>
              <w:left w:type="dxa" w:w="90"/>
              <w:bottom w:type="dxa" w:w="60"/>
              <w:right w:type="dxa" w:w="90"/>
            </w:tcMar>
          </w:tcPr>
          <w:p>
            <w:pPr>
              <w:spacing w:after="0"/>
              <w:jc w:val="left"/>
            </w:pPr>
            <w:r>
              <w:rPr>
                <w:sz w:val="20"/>
                <w:szCs w:val="20"/>
              </w:rPr>
              <w:t xml:space="preserve">Área, setor e localidade de atuação</w:t>
            </w:r>
          </w:p>
        </w:tc>
        <w:tc>
          <w:tcPr>
            <w:tcW w:type="dxa" w:w="3100"/>
            <w:tcMar>
              <w:top w:type="dxa" w:w="60"/>
              <w:left w:type="dxa" w:w="90"/>
              <w:bottom w:type="dxa" w:w="60"/>
              <w:right w:type="dxa" w:w="90"/>
            </w:tcMar>
          </w:tcPr>
          <w:p>
            <w:pPr>
              <w:spacing w:after="0"/>
              <w:jc w:val="left"/>
            </w:pPr>
            <w:r>
              <w:rPr>
                <w:sz w:val="20"/>
                <w:szCs w:val="20"/>
              </w:rPr>
              <w:t xml:space="preserve">Mapa de áreas de atuação dos egressos</w:t>
            </w:r>
          </w:p>
        </w:tc>
      </w:tr>
      <w:tr>
        <w:tc>
          <w:tcPr>
            <w:tcW w:type="dxa" w:w="2100"/>
            <w:tcMar>
              <w:top w:type="dxa" w:w="60"/>
              <w:left w:type="dxa" w:w="90"/>
              <w:bottom w:type="dxa" w:w="60"/>
              <w:right w:type="dxa" w:w="90"/>
            </w:tcMar>
          </w:tcPr>
          <w:p>
            <w:pPr>
              <w:spacing w:after="0"/>
              <w:jc w:val="left"/>
            </w:pPr>
            <w:r>
              <w:rPr>
                <w:sz w:val="20"/>
                <w:szCs w:val="20"/>
              </w:rPr>
              <w:t xml:space="preserve">5. Aderência à formação</w:t>
            </w:r>
          </w:p>
        </w:tc>
        <w:tc>
          <w:tcPr>
            <w:tcW w:type="dxa" w:w="3800"/>
            <w:tcMar>
              <w:top w:type="dxa" w:w="60"/>
              <w:left w:type="dxa" w:w="90"/>
              <w:bottom w:type="dxa" w:w="60"/>
              <w:right w:type="dxa" w:w="90"/>
            </w:tcMar>
          </w:tcPr>
          <w:p>
            <w:pPr>
              <w:spacing w:after="0"/>
              <w:jc w:val="left"/>
            </w:pPr>
            <w:r>
              <w:rPr>
                <w:sz w:val="20"/>
                <w:szCs w:val="20"/>
              </w:rPr>
              <w:t xml:space="preserve">Escala ordinal de relação entre formação e atuação</w:t>
            </w:r>
          </w:p>
        </w:tc>
        <w:tc>
          <w:tcPr>
            <w:tcW w:type="dxa" w:w="3100"/>
            <w:tcMar>
              <w:top w:type="dxa" w:w="60"/>
              <w:left w:type="dxa" w:w="90"/>
              <w:bottom w:type="dxa" w:w="60"/>
              <w:right w:type="dxa" w:w="90"/>
            </w:tcMar>
          </w:tcPr>
          <w:p>
            <w:pPr>
              <w:spacing w:after="0"/>
              <w:jc w:val="left"/>
            </w:pPr>
            <w:r>
              <w:rPr>
                <w:sz w:val="20"/>
                <w:szCs w:val="20"/>
              </w:rPr>
              <w:t xml:space="preserve">Aderência entre currículo e mercado</w:t>
            </w:r>
          </w:p>
        </w:tc>
      </w:tr>
      <w:tr>
        <w:tc>
          <w:tcPr>
            <w:tcW w:type="dxa" w:w="2100"/>
            <w:tcMar>
              <w:top w:type="dxa" w:w="60"/>
              <w:left w:type="dxa" w:w="90"/>
              <w:bottom w:type="dxa" w:w="60"/>
              <w:right w:type="dxa" w:w="90"/>
            </w:tcMar>
          </w:tcPr>
          <w:p>
            <w:pPr>
              <w:spacing w:after="0"/>
              <w:jc w:val="left"/>
            </w:pPr>
            <w:r>
              <w:rPr>
                <w:sz w:val="20"/>
                <w:szCs w:val="20"/>
              </w:rPr>
              <w:t xml:space="preserve">6. Formação continuada</w:t>
            </w:r>
          </w:p>
        </w:tc>
        <w:tc>
          <w:tcPr>
            <w:tcW w:type="dxa" w:w="3800"/>
            <w:tcMar>
              <w:top w:type="dxa" w:w="60"/>
              <w:left w:type="dxa" w:w="90"/>
              <w:bottom w:type="dxa" w:w="60"/>
              <w:right w:type="dxa" w:w="90"/>
            </w:tcMar>
          </w:tcPr>
          <w:p>
            <w:pPr>
              <w:spacing w:after="0"/>
              <w:jc w:val="left"/>
            </w:pPr>
            <w:r>
              <w:rPr>
                <w:sz w:val="20"/>
                <w:szCs w:val="20"/>
              </w:rPr>
              <w:t xml:space="preserve">Prosseguimento de estudos após a graduação</w:t>
            </w:r>
          </w:p>
        </w:tc>
        <w:tc>
          <w:tcPr>
            <w:tcW w:type="dxa" w:w="3100"/>
            <w:tcMar>
              <w:top w:type="dxa" w:w="60"/>
              <w:left w:type="dxa" w:w="90"/>
              <w:bottom w:type="dxa" w:w="60"/>
              <w:right w:type="dxa" w:w="90"/>
            </w:tcMar>
          </w:tcPr>
          <w:p>
            <w:pPr>
              <w:spacing w:after="0"/>
              <w:jc w:val="left"/>
            </w:pPr>
            <w:r>
              <w:rPr>
                <w:sz w:val="20"/>
                <w:szCs w:val="20"/>
              </w:rPr>
              <w:t xml:space="preserve">Demanda por pós-graduação e extensão</w:t>
            </w:r>
          </w:p>
        </w:tc>
      </w:tr>
      <w:tr>
        <w:tc>
          <w:tcPr>
            <w:tcW w:type="dxa" w:w="2100"/>
            <w:tcMar>
              <w:top w:type="dxa" w:w="60"/>
              <w:left w:type="dxa" w:w="90"/>
              <w:bottom w:type="dxa" w:w="60"/>
              <w:right w:type="dxa" w:w="90"/>
            </w:tcMar>
          </w:tcPr>
          <w:p>
            <w:pPr>
              <w:spacing w:after="0"/>
              <w:jc w:val="left"/>
            </w:pPr>
            <w:r>
              <w:rPr>
                <w:sz w:val="20"/>
                <w:szCs w:val="20"/>
              </w:rPr>
              <w:t xml:space="preserve">7. Contato e manifestações</w:t>
            </w:r>
          </w:p>
        </w:tc>
        <w:tc>
          <w:tcPr>
            <w:tcW w:type="dxa" w:w="3800"/>
            <w:tcMar>
              <w:top w:type="dxa" w:w="60"/>
              <w:left w:type="dxa" w:w="90"/>
              <w:bottom w:type="dxa" w:w="60"/>
              <w:right w:type="dxa" w:w="90"/>
            </w:tcMar>
          </w:tcPr>
          <w:p>
            <w:pPr>
              <w:spacing w:after="0"/>
              <w:jc w:val="left"/>
            </w:pPr>
            <w:r>
              <w:rPr>
                <w:sz w:val="20"/>
                <w:szCs w:val="20"/>
              </w:rPr>
              <w:t xml:space="preserve">Atualização de contato, recusa e adesão voluntária</w:t>
            </w:r>
          </w:p>
        </w:tc>
        <w:tc>
          <w:tcPr>
            <w:tcW w:type="dxa" w:w="3100"/>
            <w:tcMar>
              <w:top w:type="dxa" w:w="60"/>
              <w:left w:type="dxa" w:w="90"/>
              <w:bottom w:type="dxa" w:w="60"/>
              <w:right w:type="dxa" w:w="90"/>
            </w:tcMar>
          </w:tcPr>
          <w:p>
            <w:pPr>
              <w:spacing w:after="0"/>
              <w:jc w:val="left"/>
            </w:pPr>
            <w:r>
              <w:rPr>
                <w:sz w:val="20"/>
                <w:szCs w:val="20"/>
              </w:rPr>
              <w:t xml:space="preserve">Manutenção da base e respeito à recusa</w:t>
            </w:r>
          </w:p>
        </w:tc>
      </w:tr>
    </w:tbl>
    <w:p>
      <w:pPr>
        <w:spacing w:after="180"/>
      </w:pPr>
    </w:p>
    <w:p>
      <w:pPr>
        <w:spacing w:after="120" w:line="276"/>
        <w:jc w:val="both"/>
      </w:pPr>
      <w:r>
        <w:rPr>
          <w:sz w:val="22"/>
          <w:szCs w:val="22"/>
        </w:rPr>
        <w:t xml:space="preserve">Quanto ao preenchimento, os campos do bloco de identificação acadêmica são apresentados pré-preenchidos a partir da base de origem e permanecem editáveis pelo respondente, hipótese em que a alteração é registrada como correção, preservando-se o valor original para fins de auditoria da qualidade da base. Os campos dos blocos de situação ocupacional e de aderência à formação são de preenchimento obrigatório, por sustentarem os indicadores centrais; os demais são opcionais, de modo a não onerar o respondente nem induzir abandono do preenchimento.</w:t>
      </w:r>
    </w:p>
    <w:p>
      <w:pPr>
        <w:spacing w:after="120" w:line="276"/>
        <w:jc w:val="both"/>
      </w:pPr>
      <w:r>
        <w:rPr>
          <w:sz w:val="22"/>
          <w:szCs w:val="22"/>
        </w:rPr>
        <w:t xml:space="preserve">Os parâmetros de contato automatizado, derivados das experiências sistematizadas na revisão da literatura, são inicialmente propostos nos seguintes termos.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DEE5F0" w:val="clear"/>
            <w:tcMar>
              <w:top w:type="dxa" w:w="60"/>
              <w:left w:type="dxa" w:w="90"/>
              <w:bottom w:type="dxa" w:w="60"/>
              <w:right w:type="dxa" w:w="90"/>
            </w:tcMar>
          </w:tcPr>
          <w:p>
            <w:pPr>
              <w:spacing w:after="0"/>
              <w:jc w:val="left"/>
            </w:pPr>
            <w:r>
              <w:rPr>
                <w:b/>
                <w:bCs/>
                <w:sz w:val="20"/>
                <w:szCs w:val="20"/>
              </w:rPr>
              <w:t xml:space="preserve">Parâmetro</w:t>
            </w:r>
          </w:p>
        </w:tc>
        <w:tc>
          <w:tcPr>
            <w:tcW w:type="dxa" w:w="6200"/>
            <w:shd w:fill="DEE5F0" w:val="clear"/>
            <w:tcMar>
              <w:top w:type="dxa" w:w="60"/>
              <w:left w:type="dxa" w:w="90"/>
              <w:bottom w:type="dxa" w:w="60"/>
              <w:right w:type="dxa" w:w="90"/>
            </w:tcMar>
          </w:tcPr>
          <w:p>
            <w:pPr>
              <w:spacing w:after="0"/>
              <w:jc w:val="left"/>
            </w:pPr>
            <w:r>
              <w:rPr>
                <w:b/>
                <w:bCs/>
                <w:sz w:val="20"/>
                <w:szCs w:val="20"/>
              </w:rPr>
              <w:t xml:space="preserve">Valor proposto</w:t>
            </w:r>
          </w:p>
        </w:tc>
      </w:tr>
      <w:tr>
        <w:tc>
          <w:tcPr>
            <w:tcW w:type="dxa" w:w="2800"/>
            <w:tcMar>
              <w:top w:type="dxa" w:w="60"/>
              <w:left w:type="dxa" w:w="90"/>
              <w:bottom w:type="dxa" w:w="60"/>
              <w:right w:type="dxa" w:w="90"/>
            </w:tcMar>
          </w:tcPr>
          <w:p>
            <w:pPr>
              <w:spacing w:after="0"/>
              <w:jc w:val="left"/>
            </w:pPr>
            <w:r>
              <w:rPr>
                <w:sz w:val="20"/>
                <w:szCs w:val="20"/>
              </w:rPr>
              <w:t xml:space="preserve">Convite inicial</w:t>
            </w:r>
          </w:p>
        </w:tc>
        <w:tc>
          <w:tcPr>
            <w:tcW w:type="dxa" w:w="6200"/>
            <w:tcMar>
              <w:top w:type="dxa" w:w="60"/>
              <w:left w:type="dxa" w:w="90"/>
              <w:bottom w:type="dxa" w:w="60"/>
              <w:right w:type="dxa" w:w="90"/>
            </w:tcMar>
          </w:tcPr>
          <w:p>
            <w:pPr>
              <w:spacing w:after="0"/>
              <w:jc w:val="left"/>
            </w:pPr>
            <w:r>
              <w:rPr>
                <w:sz w:val="20"/>
                <w:szCs w:val="20"/>
              </w:rPr>
              <w:t xml:space="preserve">Um envio, com endereço individual de acesso</w:t>
            </w:r>
          </w:p>
        </w:tc>
      </w:tr>
      <w:tr>
        <w:tc>
          <w:tcPr>
            <w:tcW w:type="dxa" w:w="2800"/>
            <w:tcMar>
              <w:top w:type="dxa" w:w="60"/>
              <w:left w:type="dxa" w:w="90"/>
              <w:bottom w:type="dxa" w:w="60"/>
              <w:right w:type="dxa" w:w="90"/>
            </w:tcMar>
          </w:tcPr>
          <w:p>
            <w:pPr>
              <w:spacing w:after="0"/>
              <w:jc w:val="left"/>
            </w:pPr>
            <w:r>
              <w:rPr>
                <w:sz w:val="20"/>
                <w:szCs w:val="20"/>
              </w:rPr>
              <w:t xml:space="preserve">Lembretes</w:t>
            </w:r>
          </w:p>
        </w:tc>
        <w:tc>
          <w:tcPr>
            <w:tcW w:type="dxa" w:w="6200"/>
            <w:tcMar>
              <w:top w:type="dxa" w:w="60"/>
              <w:left w:type="dxa" w:w="90"/>
              <w:bottom w:type="dxa" w:w="60"/>
              <w:right w:type="dxa" w:w="90"/>
            </w:tcMar>
          </w:tcPr>
          <w:p>
            <w:pPr>
              <w:spacing w:after="0"/>
              <w:jc w:val="left"/>
            </w:pPr>
            <w:r>
              <w:rPr>
                <w:sz w:val="20"/>
                <w:szCs w:val="20"/>
              </w:rPr>
              <w:t xml:space="preserve">Até três, dirigidos exclusivamente a quem não concluiu o preenchimento</w:t>
            </w:r>
          </w:p>
        </w:tc>
      </w:tr>
      <w:tr>
        <w:tc>
          <w:tcPr>
            <w:tcW w:type="dxa" w:w="2800"/>
            <w:tcMar>
              <w:top w:type="dxa" w:w="60"/>
              <w:left w:type="dxa" w:w="90"/>
              <w:bottom w:type="dxa" w:w="60"/>
              <w:right w:type="dxa" w:w="90"/>
            </w:tcMar>
          </w:tcPr>
          <w:p>
            <w:pPr>
              <w:spacing w:after="0"/>
              <w:jc w:val="left"/>
            </w:pPr>
            <w:r>
              <w:rPr>
                <w:sz w:val="20"/>
                <w:szCs w:val="20"/>
              </w:rPr>
              <w:t xml:space="preserve">Intervalo entre disparos</w:t>
            </w:r>
          </w:p>
        </w:tc>
        <w:tc>
          <w:tcPr>
            <w:tcW w:type="dxa" w:w="6200"/>
            <w:tcMar>
              <w:top w:type="dxa" w:w="60"/>
              <w:left w:type="dxa" w:w="90"/>
              <w:bottom w:type="dxa" w:w="60"/>
              <w:right w:type="dxa" w:w="90"/>
            </w:tcMar>
          </w:tcPr>
          <w:p>
            <w:pPr>
              <w:spacing w:after="0"/>
              <w:jc w:val="left"/>
            </w:pPr>
            <w:r>
              <w:rPr>
                <w:sz w:val="20"/>
                <w:szCs w:val="20"/>
              </w:rPr>
              <w:t xml:space="preserve">Quatro, sete e quatorze dias após o convite inicial</w:t>
            </w:r>
          </w:p>
        </w:tc>
      </w:tr>
      <w:tr>
        <w:tc>
          <w:tcPr>
            <w:tcW w:type="dxa" w:w="2800"/>
            <w:tcMar>
              <w:top w:type="dxa" w:w="60"/>
              <w:left w:type="dxa" w:w="90"/>
              <w:bottom w:type="dxa" w:w="60"/>
              <w:right w:type="dxa" w:w="90"/>
            </w:tcMar>
          </w:tcPr>
          <w:p>
            <w:pPr>
              <w:spacing w:after="0"/>
              <w:jc w:val="left"/>
            </w:pPr>
            <w:r>
              <w:rPr>
                <w:sz w:val="20"/>
                <w:szCs w:val="20"/>
              </w:rPr>
              <w:t xml:space="preserve">Limite de tentativas</w:t>
            </w:r>
          </w:p>
        </w:tc>
        <w:tc>
          <w:tcPr>
            <w:tcW w:type="dxa" w:w="6200"/>
            <w:tcMar>
              <w:top w:type="dxa" w:w="60"/>
              <w:left w:type="dxa" w:w="90"/>
              <w:bottom w:type="dxa" w:w="60"/>
              <w:right w:type="dxa" w:w="90"/>
            </w:tcMar>
          </w:tcPr>
          <w:p>
            <w:pPr>
              <w:spacing w:after="0"/>
              <w:jc w:val="left"/>
            </w:pPr>
            <w:r>
              <w:rPr>
                <w:sz w:val="20"/>
                <w:szCs w:val="20"/>
              </w:rPr>
              <w:t xml:space="preserve">Quatro mensagens por participante, incluído o convite</w:t>
            </w:r>
          </w:p>
        </w:tc>
      </w:tr>
      <w:tr>
        <w:tc>
          <w:tcPr>
            <w:tcW w:type="dxa" w:w="2800"/>
            <w:tcMar>
              <w:top w:type="dxa" w:w="60"/>
              <w:left w:type="dxa" w:w="90"/>
              <w:bottom w:type="dxa" w:w="60"/>
              <w:right w:type="dxa" w:w="90"/>
            </w:tcMar>
          </w:tcPr>
          <w:p>
            <w:pPr>
              <w:spacing w:after="0"/>
              <w:jc w:val="left"/>
            </w:pPr>
            <w:r>
              <w:rPr>
                <w:sz w:val="20"/>
                <w:szCs w:val="20"/>
              </w:rPr>
              <w:t xml:space="preserve">Tratamento da recusa</w:t>
            </w:r>
          </w:p>
        </w:tc>
        <w:tc>
          <w:tcPr>
            <w:tcW w:type="dxa" w:w="6200"/>
            <w:tcMar>
              <w:top w:type="dxa" w:w="60"/>
              <w:left w:type="dxa" w:w="90"/>
              <w:bottom w:type="dxa" w:w="60"/>
              <w:right w:type="dxa" w:w="90"/>
            </w:tcMar>
          </w:tcPr>
          <w:p>
            <w:pPr>
              <w:spacing w:after="0"/>
              <w:jc w:val="left"/>
            </w:pPr>
            <w:r>
              <w:rPr>
                <w:sz w:val="20"/>
                <w:szCs w:val="20"/>
              </w:rPr>
              <w:t xml:space="preserve">Exclusão imediata de novos disparos e registro da manifestação</w:t>
            </w:r>
          </w:p>
        </w:tc>
      </w:tr>
      <w:tr>
        <w:tc>
          <w:tcPr>
            <w:tcW w:type="dxa" w:w="2800"/>
            <w:tcMar>
              <w:top w:type="dxa" w:w="60"/>
              <w:left w:type="dxa" w:w="90"/>
              <w:bottom w:type="dxa" w:w="60"/>
              <w:right w:type="dxa" w:w="90"/>
            </w:tcMar>
          </w:tcPr>
          <w:p>
            <w:pPr>
              <w:spacing w:after="0"/>
              <w:jc w:val="left"/>
            </w:pPr>
            <w:r>
              <w:rPr>
                <w:sz w:val="20"/>
                <w:szCs w:val="20"/>
              </w:rPr>
              <w:t xml:space="preserve">Remetente</w:t>
            </w:r>
          </w:p>
        </w:tc>
        <w:tc>
          <w:tcPr>
            <w:tcW w:type="dxa" w:w="6200"/>
            <w:tcMar>
              <w:top w:type="dxa" w:w="60"/>
              <w:left w:type="dxa" w:w="90"/>
              <w:bottom w:type="dxa" w:w="60"/>
              <w:right w:type="dxa" w:w="90"/>
            </w:tcMar>
          </w:tcPr>
          <w:p>
            <w:pPr>
              <w:spacing w:after="0"/>
              <w:jc w:val="left"/>
            </w:pPr>
            <w:r>
              <w:rPr>
                <w:sz w:val="20"/>
                <w:szCs w:val="20"/>
              </w:rPr>
              <w:t xml:space="preserve">Endereço institucional identificável, com assunto padronizado</w:t>
            </w:r>
          </w:p>
        </w:tc>
      </w:tr>
      <w:tr>
        <w:tc>
          <w:tcPr>
            <w:tcW w:type="dxa" w:w="2800"/>
            <w:tcMar>
              <w:top w:type="dxa" w:w="60"/>
              <w:left w:type="dxa" w:w="90"/>
              <w:bottom w:type="dxa" w:w="60"/>
              <w:right w:type="dxa" w:w="90"/>
            </w:tcMar>
          </w:tcPr>
          <w:p>
            <w:pPr>
              <w:spacing w:after="0"/>
              <w:jc w:val="left"/>
            </w:pPr>
            <w:r>
              <w:rPr>
                <w:sz w:val="20"/>
                <w:szCs w:val="20"/>
              </w:rPr>
              <w:t xml:space="preserve">Verificação de entrega</w:t>
            </w:r>
          </w:p>
        </w:tc>
        <w:tc>
          <w:tcPr>
            <w:tcW w:type="dxa" w:w="6200"/>
            <w:tcMar>
              <w:top w:type="dxa" w:w="60"/>
              <w:left w:type="dxa" w:w="90"/>
              <w:bottom w:type="dxa" w:w="60"/>
              <w:right w:type="dxa" w:w="90"/>
            </w:tcMar>
          </w:tcPr>
          <w:p>
            <w:pPr>
              <w:spacing w:after="0"/>
              <w:jc w:val="left"/>
            </w:pPr>
            <w:r>
              <w:rPr>
                <w:sz w:val="20"/>
                <w:szCs w:val="20"/>
              </w:rPr>
              <w:t xml:space="preserve">Registro de retornos de erro e marcação do contato como inválido</w:t>
            </w:r>
          </w:p>
        </w:tc>
      </w:tr>
    </w:tbl>
    <w:p>
      <w:pPr>
        <w:spacing w:after="180"/>
      </w:pPr>
    </w:p>
    <w:p>
      <w:pPr>
        <w:pStyle w:val="Heading1"/>
        <w:spacing w:after="160" w:before="280"/>
      </w:pPr>
      <w:r>
        <w:rPr>
          <w:b/>
          <w:bCs/>
          <w:color w:val="1F3864"/>
          <w:sz w:val="26"/>
          <w:szCs w:val="26"/>
        </w:rPr>
        <w:t xml:space="preserve">Metodologia da Execução do Projeto</w:t>
      </w:r>
    </w:p>
    <w:p>
      <w:pPr>
        <w:spacing w:after="160" w:line="276"/>
        <w:jc w:val="both"/>
      </w:pPr>
      <w:r>
        <w:rPr>
          <w:sz w:val="22"/>
          <w:szCs w:val="22"/>
        </w:rPr>
        <w:t xml:space="preserve">A pesquisa será executada sob abordagem de natureza aplicada, com objetivos exploratório-descritivos e procedimentos de pesquisa-desenvolvimento, uma vez que produz um artefato tecnológico e avalia seu funcionamento em ambiente controlado. A execução estrutura-se em sete fases sequenciais e interligadas.</w:t>
      </w:r>
    </w:p>
    <w:p>
      <w:pPr>
        <w:pStyle w:val="Heading2"/>
        <w:spacing w:after="160" w:before="280"/>
      </w:pPr>
      <w:r>
        <w:rPr>
          <w:b/>
          <w:bCs/>
          <w:color w:val="1F3864"/>
          <w:sz w:val="26"/>
          <w:szCs w:val="26"/>
        </w:rPr>
        <w:t xml:space="preserve">Fase 1: Revisão da Literatura, Linha de Base e Sistematização das Estratégias de Engajamento</w:t>
      </w:r>
    </w:p>
    <w:p>
      <w:pPr>
        <w:spacing w:after="160" w:line="276"/>
        <w:jc w:val="both"/>
      </w:pPr>
      <w:r>
        <w:rPr>
          <w:sz w:val="22"/>
          <w:szCs w:val="22"/>
        </w:rPr>
        <w:t xml:space="preserve">A fase inicial compreenderá a revisão da literatura científica sobre sistemas de acompanhamento de egressos, com atenção particular aos relatos de experiência de instituições da Rede Federal e aos fatores associados às baixas taxas de resposta. As estratégias de engajamento identificadas serão sistematizadas em quadro comparativo que registre, para cada abordagem, a instituição que a adotou, os resultados relatados, as limitações observadas e as implicações técnicas para a configuração de um mecanismo de coleta. Esse quadro constituirá produto intermediário do projeto e fundamentará as decisões de parametrização adotadas nas fases seguintes, notadamente quanto à cadência de disparo, à redação das mensagens de convite, aos canais de distribuição do endereço de acesso e às contrapartidas oferecidas ao respondente. Integra ainda esta fase a análise documental do instrumento de acompanhamento de egressos atualmente em operação na instituição, tomado como linha de base do diagnóstico. Essa análise, conduzida exclusivamente sobre a versão publicamente acessível do instrumento e sem qualquer coleta de respostas, permitirá caracterizar suas limitações estruturais, notadamente quanto à identificação do respondente, à padronização dos campos, à existência de mecanismos de cobrança e ao registro de consentimento, estabelecendo o parâmetro de comparação qualitativa contra o qual o mecanismo desenvolvido será descrito. O estudante, sob orientação do professor responsável, realizará leituras dirigidas e fichamento das fontes.</w:t>
      </w:r>
    </w:p>
    <w:p>
      <w:pPr>
        <w:pStyle w:val="Heading2"/>
        <w:spacing w:after="160" w:before="280"/>
      </w:pPr>
      <w:r>
        <w:rPr>
          <w:b/>
          <w:bCs/>
          <w:color w:val="1F3864"/>
          <w:sz w:val="26"/>
          <w:szCs w:val="26"/>
        </w:rPr>
        <w:t xml:space="preserve">Fase 2: Implantação da Instância Própria</w:t>
      </w:r>
    </w:p>
    <w:p>
      <w:pPr>
        <w:spacing w:after="160" w:line="276"/>
        <w:jc w:val="both"/>
      </w:pPr>
      <w:r>
        <w:rPr>
          <w:sz w:val="22"/>
          <w:szCs w:val="22"/>
        </w:rPr>
        <w:t xml:space="preserve">Nesta fase será implantada a instância própria da plataforma livre LimeSurvey, que servirá de base ao desenvolvimento. A implantação utilizará exclusivamente recursos de custo praticamente nulo, mediante conteinerização em máquina local ou serviços de hospedagem em camada gratuita, conforme se mostrar mais adequado à continuidade do trabalho. Serão documentados os requisitos de ambiente, o procedimento de instalação, as configurações de segurança aplicadas e os parâmetros do serviço de envio de mensagens, de modo que o ambiente possa ser reproduzido por terceiros. A documentação gerada nesta fase constitui a base do guia de replicação previsto entre os resultados.</w:t>
      </w:r>
    </w:p>
    <w:p>
      <w:pPr>
        <w:pStyle w:val="Heading2"/>
        <w:spacing w:after="160" w:before="280"/>
      </w:pPr>
      <w:r>
        <w:rPr>
          <w:b/>
          <w:bCs/>
          <w:color w:val="1F3864"/>
          <w:sz w:val="26"/>
          <w:szCs w:val="26"/>
        </w:rPr>
        <w:t xml:space="preserve">Fase 3: Modelagem da Estrutura de Dados e dos Campos do Instrumento</w:t>
      </w:r>
    </w:p>
    <w:p>
      <w:pPr>
        <w:spacing w:after="160" w:line="276"/>
        <w:jc w:val="both"/>
      </w:pPr>
      <w:r>
        <w:rPr>
          <w:sz w:val="22"/>
          <w:szCs w:val="22"/>
        </w:rPr>
        <w:t xml:space="preserve">Com o ambiente operacional, será modelada a estrutura que sustentará a coleta. Define-se aqui o conjunto de campos do instrumento em seus aspectos estruturais, isto é, tipo de cada campo, domínio de valores admitidos, obrigatoriedade, regras de validação e lógica de navegação condicional, bem como o leiaute do arquivo estruturado de participantes e os atributos que acompanharão cada registro. Adota-se como diretriz a substituição de campos de texto livre por campos de domínio fechado sempre que a informação for passível de padronização, uma vez que a literatura aponta a não padronização como fator que compromete a agregação posterior dos dados. Reitera-se que a definição do conteúdo temático das questões não integra esta fase; modela-se a estrutura que as acolherá, de modo que a incorporação de um instrumento revisado não exija alteração estrutural da solução.</w:t>
      </w:r>
    </w:p>
    <w:p>
      <w:pPr>
        <w:pStyle w:val="Heading2"/>
        <w:spacing w:after="160" w:before="280"/>
      </w:pPr>
      <w:r>
        <w:rPr>
          <w:b/>
          <w:bCs/>
          <w:color w:val="1F3864"/>
          <w:sz w:val="26"/>
          <w:szCs w:val="26"/>
        </w:rPr>
        <w:t xml:space="preserve">Fase 4: Geração da Base Sintética e Implementação do Acesso Rastreável</w:t>
      </w:r>
    </w:p>
    <w:p>
      <w:pPr>
        <w:spacing w:after="160" w:line="276"/>
        <w:jc w:val="both"/>
      </w:pPr>
      <w:r>
        <w:rPr>
          <w:sz w:val="22"/>
          <w:szCs w:val="22"/>
        </w:rPr>
        <w:t xml:space="preserve">Será desenvolvida rotina de geração de base sintética de participantes, produzindo registros fictícios que reproduzam a estrutura, a variedade e o volume esperados de uma base institucional real, incluindo endereços de correio eletrônico de teste sob domínio controlado pelo projeto. Sobre essa base será implementado o acesso rastreável por token individual, com pré-preenchimento dos atributos acadêmicos, controle de duplicidade e identificação dos participantes que ainda não concluíram o preenchimento, condição necessária a qualquer estratégia de cobrança. Será igualmente implementada a lógica condicional definida na fase anterior, de modo que cada participante visualize apenas o conjunto de questões pertinente à sua situação.</w:t>
      </w:r>
    </w:p>
    <w:p>
      <w:pPr>
        <w:pStyle w:val="Heading2"/>
        <w:spacing w:after="160" w:before="280"/>
      </w:pPr>
      <w:r>
        <w:rPr>
          <w:b/>
          <w:bCs/>
          <w:color w:val="1F3864"/>
          <w:sz w:val="26"/>
          <w:szCs w:val="26"/>
        </w:rPr>
        <w:t xml:space="preserve">Fase 5: Automação do Contato e Controles de Conformidade Legal</w:t>
      </w:r>
    </w:p>
    <w:p>
      <w:pPr>
        <w:spacing w:after="160" w:line="276"/>
        <w:jc w:val="both"/>
      </w:pPr>
      <w:r>
        <w:rPr>
          <w:sz w:val="22"/>
          <w:szCs w:val="22"/>
        </w:rPr>
        <w:t xml:space="preserve">Nesta fase será implementada a automação do relacionamento com o participante. Configurar-se-á o envio de convites personalizados e, principalmente, o disparo automático de lembretes dirigidos exclusivamente aos participantes que ainda não concluíram o preenchimento, por meio de rotina agendada em servidor. Os parâmetros de cadência, incluindo intervalo entre disparos e número máximo de tentativas, serão definidos a partir do quadro comparativo produzido na Fase 1 e documentados com sua respectiva justificativa. Simultaneamente, serão implementados os controles de conformidade legal: tela inicial de consentimento com registro de aceite, data e versão do termo; parametrização da opção de anonimização das respostas; registro de trilha de auditoria; e tratamento adequado da manifestação de recusa. Serão ainda documentadas, como recomendações de implantação, as demais estratégias de engajamento identificadas na literatura que dependem de ação institucional, tais como a distribuição do endereço de acesso em momentos de maior vínculo e as ações dirigidas a turmas mais antigas.</w:t>
      </w:r>
    </w:p>
    <w:p>
      <w:pPr>
        <w:pStyle w:val="Heading2"/>
        <w:spacing w:after="160" w:before="280"/>
      </w:pPr>
      <w:r>
        <w:rPr>
          <w:b/>
          <w:bCs/>
          <w:color w:val="1F3864"/>
          <w:sz w:val="26"/>
          <w:szCs w:val="26"/>
        </w:rPr>
        <w:t xml:space="preserve">Fase 6: Validação por Simulação Controlada</w:t>
      </w:r>
    </w:p>
    <w:p>
      <w:pPr>
        <w:spacing w:after="160" w:line="276"/>
        <w:jc w:val="both"/>
      </w:pPr>
      <w:r>
        <w:rPr>
          <w:sz w:val="22"/>
          <w:szCs w:val="22"/>
        </w:rPr>
        <w:t xml:space="preserve">A validação do mecanismo ocorrerá integralmente sobre a base sintética, sem participação de egressos reais. Serão verificados, de forma sistemática, a integridade da importação da base, a unicidade e a validade dos endereços individuais de acesso, a correção do pré-preenchimento, o comportamento da lógica condicional de navegação, a efetiva execução das rotinas agendadas e a seletividade do disparo de lembretes, o registro adequado do consentimento, a extração estruturada dos resultados e a usabilidade do instrumento em dispositivos móveis. Serão executados cenários de simulação que reproduzam situações previstas em operação real, tais como preenchimento parcial com retomada posterior, ausência de resposta ao longo de sucessivos disparos, endereço de contato inválido e manifestação de recusa. Cada verificação será registrada com o resultado obtido na matriz apresentada a seguir, que constitui o critério de aceite do mecanismo: considera-se validado o artefato que atenda integralmente aos requisitos nela previstos.</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DEE5F0" w:val="clear"/>
            <w:tcMar>
              <w:top w:type="dxa" w:w="60"/>
              <w:left w:type="dxa" w:w="90"/>
              <w:bottom w:type="dxa" w:w="60"/>
              <w:right w:type="dxa" w:w="90"/>
            </w:tcMar>
          </w:tcPr>
          <w:p>
            <w:pPr>
              <w:spacing w:after="0"/>
              <w:jc w:val="left"/>
            </w:pPr>
            <w:r>
              <w:rPr>
                <w:b/>
                <w:bCs/>
                <w:sz w:val="20"/>
                <w:szCs w:val="20"/>
              </w:rPr>
              <w:t xml:space="preserve">Requisito</w:t>
            </w:r>
          </w:p>
        </w:tc>
        <w:tc>
          <w:tcPr>
            <w:tcW w:type="dxa" w:w="3400"/>
            <w:shd w:fill="DEE5F0" w:val="clear"/>
            <w:tcMar>
              <w:top w:type="dxa" w:w="60"/>
              <w:left w:type="dxa" w:w="90"/>
              <w:bottom w:type="dxa" w:w="60"/>
              <w:right w:type="dxa" w:w="90"/>
            </w:tcMar>
          </w:tcPr>
          <w:p>
            <w:pPr>
              <w:spacing w:after="0"/>
              <w:jc w:val="left"/>
            </w:pPr>
            <w:r>
              <w:rPr>
                <w:b/>
                <w:bCs/>
                <w:sz w:val="20"/>
                <w:szCs w:val="20"/>
              </w:rPr>
              <w:t xml:space="preserve">Procedimento</w:t>
            </w:r>
          </w:p>
        </w:tc>
        <w:tc>
          <w:tcPr>
            <w:tcW w:type="dxa" w:w="3400"/>
            <w:shd w:fill="DEE5F0" w:val="clear"/>
            <w:tcMar>
              <w:top w:type="dxa" w:w="60"/>
              <w:left w:type="dxa" w:w="90"/>
              <w:bottom w:type="dxa" w:w="60"/>
              <w:right w:type="dxa" w:w="90"/>
            </w:tcMar>
          </w:tcPr>
          <w:p>
            <w:pPr>
              <w:spacing w:after="0"/>
              <w:jc w:val="left"/>
            </w:pPr>
            <w:r>
              <w:rPr>
                <w:b/>
                <w:bCs/>
                <w:sz w:val="20"/>
                <w:szCs w:val="20"/>
              </w:rPr>
              <w:t xml:space="preserve">Resultado esperado</w:t>
            </w:r>
          </w:p>
        </w:tc>
      </w:tr>
      <w:tr>
        <w:tc>
          <w:tcPr>
            <w:tcW w:type="dxa" w:w="2200"/>
            <w:tcMar>
              <w:top w:type="dxa" w:w="60"/>
              <w:left w:type="dxa" w:w="90"/>
              <w:bottom w:type="dxa" w:w="60"/>
              <w:right w:type="dxa" w:w="90"/>
            </w:tcMar>
          </w:tcPr>
          <w:p>
            <w:pPr>
              <w:spacing w:after="0"/>
              <w:jc w:val="left"/>
            </w:pPr>
            <w:r>
              <w:rPr>
                <w:sz w:val="20"/>
                <w:szCs w:val="20"/>
              </w:rPr>
              <w:t xml:space="preserve">Importação da base</w:t>
            </w:r>
          </w:p>
        </w:tc>
        <w:tc>
          <w:tcPr>
            <w:tcW w:type="dxa" w:w="3400"/>
            <w:tcMar>
              <w:top w:type="dxa" w:w="60"/>
              <w:left w:type="dxa" w:w="90"/>
              <w:bottom w:type="dxa" w:w="60"/>
              <w:right w:type="dxa" w:w="90"/>
            </w:tcMar>
          </w:tcPr>
          <w:p>
            <w:pPr>
              <w:spacing w:after="0"/>
              <w:jc w:val="left"/>
            </w:pPr>
            <w:r>
              <w:rPr>
                <w:sz w:val="20"/>
                <w:szCs w:val="20"/>
              </w:rPr>
              <w:t xml:space="preserve">Importar o arquivo sintético completo</w:t>
            </w:r>
          </w:p>
        </w:tc>
        <w:tc>
          <w:tcPr>
            <w:tcW w:type="dxa" w:w="3400"/>
            <w:tcMar>
              <w:top w:type="dxa" w:w="60"/>
              <w:left w:type="dxa" w:w="90"/>
              <w:bottom w:type="dxa" w:w="60"/>
              <w:right w:type="dxa" w:w="90"/>
            </w:tcMar>
          </w:tcPr>
          <w:p>
            <w:pPr>
              <w:spacing w:after="0"/>
              <w:jc w:val="left"/>
            </w:pPr>
            <w:r>
              <w:rPr>
                <w:sz w:val="20"/>
                <w:szCs w:val="20"/>
              </w:rPr>
              <w:t xml:space="preserve">Todos os registros criados, sem duplicidade</w:t>
            </w:r>
          </w:p>
        </w:tc>
      </w:tr>
      <w:tr>
        <w:tc>
          <w:tcPr>
            <w:tcW w:type="dxa" w:w="2200"/>
            <w:tcMar>
              <w:top w:type="dxa" w:w="60"/>
              <w:left w:type="dxa" w:w="90"/>
              <w:bottom w:type="dxa" w:w="60"/>
              <w:right w:type="dxa" w:w="90"/>
            </w:tcMar>
          </w:tcPr>
          <w:p>
            <w:pPr>
              <w:spacing w:after="0"/>
              <w:jc w:val="left"/>
            </w:pPr>
            <w:r>
              <w:rPr>
                <w:sz w:val="20"/>
                <w:szCs w:val="20"/>
              </w:rPr>
              <w:t xml:space="preserve">Unicidade dos acessos</w:t>
            </w:r>
          </w:p>
        </w:tc>
        <w:tc>
          <w:tcPr>
            <w:tcW w:type="dxa" w:w="3400"/>
            <w:tcMar>
              <w:top w:type="dxa" w:w="60"/>
              <w:left w:type="dxa" w:w="90"/>
              <w:bottom w:type="dxa" w:w="60"/>
              <w:right w:type="dxa" w:w="90"/>
            </w:tcMar>
          </w:tcPr>
          <w:p>
            <w:pPr>
              <w:spacing w:after="0"/>
              <w:jc w:val="left"/>
            </w:pPr>
            <w:r>
              <w:rPr>
                <w:sz w:val="20"/>
                <w:szCs w:val="20"/>
              </w:rPr>
              <w:t xml:space="preserve">Comparar os endereços individuais gerados</w:t>
            </w:r>
          </w:p>
        </w:tc>
        <w:tc>
          <w:tcPr>
            <w:tcW w:type="dxa" w:w="3400"/>
            <w:tcMar>
              <w:top w:type="dxa" w:w="60"/>
              <w:left w:type="dxa" w:w="90"/>
              <w:bottom w:type="dxa" w:w="60"/>
              <w:right w:type="dxa" w:w="90"/>
            </w:tcMar>
          </w:tcPr>
          <w:p>
            <w:pPr>
              <w:spacing w:after="0"/>
              <w:jc w:val="left"/>
            </w:pPr>
            <w:r>
              <w:rPr>
                <w:sz w:val="20"/>
                <w:szCs w:val="20"/>
              </w:rPr>
              <w:t xml:space="preserve">Nenhum endereço repetido ou inválido</w:t>
            </w:r>
          </w:p>
        </w:tc>
      </w:tr>
      <w:tr>
        <w:tc>
          <w:tcPr>
            <w:tcW w:type="dxa" w:w="2200"/>
            <w:tcMar>
              <w:top w:type="dxa" w:w="60"/>
              <w:left w:type="dxa" w:w="90"/>
              <w:bottom w:type="dxa" w:w="60"/>
              <w:right w:type="dxa" w:w="90"/>
            </w:tcMar>
          </w:tcPr>
          <w:p>
            <w:pPr>
              <w:spacing w:after="0"/>
              <w:jc w:val="left"/>
            </w:pPr>
            <w:r>
              <w:rPr>
                <w:sz w:val="20"/>
                <w:szCs w:val="20"/>
              </w:rPr>
              <w:t xml:space="preserve">Pré-preenchimento</w:t>
            </w:r>
          </w:p>
        </w:tc>
        <w:tc>
          <w:tcPr>
            <w:tcW w:type="dxa" w:w="3400"/>
            <w:tcMar>
              <w:top w:type="dxa" w:w="60"/>
              <w:left w:type="dxa" w:w="90"/>
              <w:bottom w:type="dxa" w:w="60"/>
              <w:right w:type="dxa" w:w="90"/>
            </w:tcMar>
          </w:tcPr>
          <w:p>
            <w:pPr>
              <w:spacing w:after="0"/>
              <w:jc w:val="left"/>
            </w:pPr>
            <w:r>
              <w:rPr>
                <w:sz w:val="20"/>
                <w:szCs w:val="20"/>
              </w:rPr>
              <w:t xml:space="preserve">Abrir acessos individuais de amostra</w:t>
            </w:r>
          </w:p>
        </w:tc>
        <w:tc>
          <w:tcPr>
            <w:tcW w:type="dxa" w:w="3400"/>
            <w:tcMar>
              <w:top w:type="dxa" w:w="60"/>
              <w:left w:type="dxa" w:w="90"/>
              <w:bottom w:type="dxa" w:w="60"/>
              <w:right w:type="dxa" w:w="90"/>
            </w:tcMar>
          </w:tcPr>
          <w:p>
            <w:pPr>
              <w:spacing w:after="0"/>
              <w:jc w:val="left"/>
            </w:pPr>
            <w:r>
              <w:rPr>
                <w:sz w:val="20"/>
                <w:szCs w:val="20"/>
              </w:rPr>
              <w:t xml:space="preserve">Atributos exibidos conforme a base de origem</w:t>
            </w:r>
          </w:p>
        </w:tc>
      </w:tr>
      <w:tr>
        <w:tc>
          <w:tcPr>
            <w:tcW w:type="dxa" w:w="2200"/>
            <w:tcMar>
              <w:top w:type="dxa" w:w="60"/>
              <w:left w:type="dxa" w:w="90"/>
              <w:bottom w:type="dxa" w:w="60"/>
              <w:right w:type="dxa" w:w="90"/>
            </w:tcMar>
          </w:tcPr>
          <w:p>
            <w:pPr>
              <w:spacing w:after="0"/>
              <w:jc w:val="left"/>
            </w:pPr>
            <w:r>
              <w:rPr>
                <w:sz w:val="20"/>
                <w:szCs w:val="20"/>
              </w:rPr>
              <w:t xml:space="preserve">Navegação condicional</w:t>
            </w:r>
          </w:p>
        </w:tc>
        <w:tc>
          <w:tcPr>
            <w:tcW w:type="dxa" w:w="3400"/>
            <w:tcMar>
              <w:top w:type="dxa" w:w="60"/>
              <w:left w:type="dxa" w:w="90"/>
              <w:bottom w:type="dxa" w:w="60"/>
              <w:right w:type="dxa" w:w="90"/>
            </w:tcMar>
          </w:tcPr>
          <w:p>
            <w:pPr>
              <w:spacing w:after="0"/>
              <w:jc w:val="left"/>
            </w:pPr>
            <w:r>
              <w:rPr>
                <w:sz w:val="20"/>
                <w:szCs w:val="20"/>
              </w:rPr>
              <w:t xml:space="preserve">Percorrer os caminhos alternativos previstos</w:t>
            </w:r>
          </w:p>
        </w:tc>
        <w:tc>
          <w:tcPr>
            <w:tcW w:type="dxa" w:w="3400"/>
            <w:tcMar>
              <w:top w:type="dxa" w:w="60"/>
              <w:left w:type="dxa" w:w="90"/>
              <w:bottom w:type="dxa" w:w="60"/>
              <w:right w:type="dxa" w:w="90"/>
            </w:tcMar>
          </w:tcPr>
          <w:p>
            <w:pPr>
              <w:spacing w:after="0"/>
              <w:jc w:val="left"/>
            </w:pPr>
            <w:r>
              <w:rPr>
                <w:sz w:val="20"/>
                <w:szCs w:val="20"/>
              </w:rPr>
              <w:t xml:space="preserve">Apenas os blocos pertinentes são exibidos</w:t>
            </w:r>
          </w:p>
        </w:tc>
      </w:tr>
      <w:tr>
        <w:tc>
          <w:tcPr>
            <w:tcW w:type="dxa" w:w="2200"/>
            <w:tcMar>
              <w:top w:type="dxa" w:w="60"/>
              <w:left w:type="dxa" w:w="90"/>
              <w:bottom w:type="dxa" w:w="60"/>
              <w:right w:type="dxa" w:w="90"/>
            </w:tcMar>
          </w:tcPr>
          <w:p>
            <w:pPr>
              <w:spacing w:after="0"/>
              <w:jc w:val="left"/>
            </w:pPr>
            <w:r>
              <w:rPr>
                <w:sz w:val="20"/>
                <w:szCs w:val="20"/>
              </w:rPr>
              <w:t xml:space="preserve">Retomada de preenchimento</w:t>
            </w:r>
          </w:p>
        </w:tc>
        <w:tc>
          <w:tcPr>
            <w:tcW w:type="dxa" w:w="3400"/>
            <w:tcMar>
              <w:top w:type="dxa" w:w="60"/>
              <w:left w:type="dxa" w:w="90"/>
              <w:bottom w:type="dxa" w:w="60"/>
              <w:right w:type="dxa" w:w="90"/>
            </w:tcMar>
          </w:tcPr>
          <w:p>
            <w:pPr>
              <w:spacing w:after="0"/>
              <w:jc w:val="left"/>
            </w:pPr>
            <w:r>
              <w:rPr>
                <w:sz w:val="20"/>
                <w:szCs w:val="20"/>
              </w:rPr>
              <w:t xml:space="preserve">Interromper e reabrir o acesso</w:t>
            </w:r>
          </w:p>
        </w:tc>
        <w:tc>
          <w:tcPr>
            <w:tcW w:type="dxa" w:w="3400"/>
            <w:tcMar>
              <w:top w:type="dxa" w:w="60"/>
              <w:left w:type="dxa" w:w="90"/>
              <w:bottom w:type="dxa" w:w="60"/>
              <w:right w:type="dxa" w:w="90"/>
            </w:tcMar>
          </w:tcPr>
          <w:p>
            <w:pPr>
              <w:spacing w:after="0"/>
              <w:jc w:val="left"/>
            </w:pPr>
            <w:r>
              <w:rPr>
                <w:sz w:val="20"/>
                <w:szCs w:val="20"/>
              </w:rPr>
              <w:t xml:space="preserve">Respostas anteriores preservadas</w:t>
            </w:r>
          </w:p>
        </w:tc>
      </w:tr>
      <w:tr>
        <w:tc>
          <w:tcPr>
            <w:tcW w:type="dxa" w:w="2200"/>
            <w:tcMar>
              <w:top w:type="dxa" w:w="60"/>
              <w:left w:type="dxa" w:w="90"/>
              <w:bottom w:type="dxa" w:w="60"/>
              <w:right w:type="dxa" w:w="90"/>
            </w:tcMar>
          </w:tcPr>
          <w:p>
            <w:pPr>
              <w:spacing w:after="0"/>
              <w:jc w:val="left"/>
            </w:pPr>
            <w:r>
              <w:rPr>
                <w:sz w:val="20"/>
                <w:szCs w:val="20"/>
              </w:rPr>
              <w:t xml:space="preserve">Rotina agendada</w:t>
            </w:r>
          </w:p>
        </w:tc>
        <w:tc>
          <w:tcPr>
            <w:tcW w:type="dxa" w:w="3400"/>
            <w:tcMar>
              <w:top w:type="dxa" w:w="60"/>
              <w:left w:type="dxa" w:w="90"/>
              <w:bottom w:type="dxa" w:w="60"/>
              <w:right w:type="dxa" w:w="90"/>
            </w:tcMar>
          </w:tcPr>
          <w:p>
            <w:pPr>
              <w:spacing w:after="0"/>
              <w:jc w:val="left"/>
            </w:pPr>
            <w:r>
              <w:rPr>
                <w:sz w:val="20"/>
                <w:szCs w:val="20"/>
              </w:rPr>
              <w:t xml:space="preserve">Aguardar a janela de execução programada</w:t>
            </w:r>
          </w:p>
        </w:tc>
        <w:tc>
          <w:tcPr>
            <w:tcW w:type="dxa" w:w="3400"/>
            <w:tcMar>
              <w:top w:type="dxa" w:w="60"/>
              <w:left w:type="dxa" w:w="90"/>
              <w:bottom w:type="dxa" w:w="60"/>
              <w:right w:type="dxa" w:w="90"/>
            </w:tcMar>
          </w:tcPr>
          <w:p>
            <w:pPr>
              <w:spacing w:after="0"/>
              <w:jc w:val="left"/>
            </w:pPr>
            <w:r>
              <w:rPr>
                <w:sz w:val="20"/>
                <w:szCs w:val="20"/>
              </w:rPr>
              <w:t xml:space="preserve">Disparo executado no horário definido</w:t>
            </w:r>
          </w:p>
        </w:tc>
      </w:tr>
      <w:tr>
        <w:tc>
          <w:tcPr>
            <w:tcW w:type="dxa" w:w="2200"/>
            <w:tcMar>
              <w:top w:type="dxa" w:w="60"/>
              <w:left w:type="dxa" w:w="90"/>
              <w:bottom w:type="dxa" w:w="60"/>
              <w:right w:type="dxa" w:w="90"/>
            </w:tcMar>
          </w:tcPr>
          <w:p>
            <w:pPr>
              <w:spacing w:after="0"/>
              <w:jc w:val="left"/>
            </w:pPr>
            <w:r>
              <w:rPr>
                <w:sz w:val="20"/>
                <w:szCs w:val="20"/>
              </w:rPr>
              <w:t xml:space="preserve">Seletividade do lembrete</w:t>
            </w:r>
          </w:p>
        </w:tc>
        <w:tc>
          <w:tcPr>
            <w:tcW w:type="dxa" w:w="3400"/>
            <w:tcMar>
              <w:top w:type="dxa" w:w="60"/>
              <w:left w:type="dxa" w:w="90"/>
              <w:bottom w:type="dxa" w:w="60"/>
              <w:right w:type="dxa" w:w="90"/>
            </w:tcMar>
          </w:tcPr>
          <w:p>
            <w:pPr>
              <w:spacing w:after="0"/>
              <w:jc w:val="left"/>
            </w:pPr>
            <w:r>
              <w:rPr>
                <w:sz w:val="20"/>
                <w:szCs w:val="20"/>
              </w:rPr>
              <w:t xml:space="preserve">Marcar parte da base como respondente</w:t>
            </w:r>
          </w:p>
        </w:tc>
        <w:tc>
          <w:tcPr>
            <w:tcW w:type="dxa" w:w="3400"/>
            <w:tcMar>
              <w:top w:type="dxa" w:w="60"/>
              <w:left w:type="dxa" w:w="90"/>
              <w:bottom w:type="dxa" w:w="60"/>
              <w:right w:type="dxa" w:w="90"/>
            </w:tcMar>
          </w:tcPr>
          <w:p>
            <w:pPr>
              <w:spacing w:after="0"/>
              <w:jc w:val="left"/>
            </w:pPr>
            <w:r>
              <w:rPr>
                <w:sz w:val="20"/>
                <w:szCs w:val="20"/>
              </w:rPr>
              <w:t xml:space="preserve">Lembrete enviado apenas aos não respondentes</w:t>
            </w:r>
          </w:p>
        </w:tc>
      </w:tr>
      <w:tr>
        <w:tc>
          <w:tcPr>
            <w:tcW w:type="dxa" w:w="2200"/>
            <w:tcMar>
              <w:top w:type="dxa" w:w="60"/>
              <w:left w:type="dxa" w:w="90"/>
              <w:bottom w:type="dxa" w:w="60"/>
              <w:right w:type="dxa" w:w="90"/>
            </w:tcMar>
          </w:tcPr>
          <w:p>
            <w:pPr>
              <w:spacing w:after="0"/>
              <w:jc w:val="left"/>
            </w:pPr>
            <w:r>
              <w:rPr>
                <w:sz w:val="20"/>
                <w:szCs w:val="20"/>
              </w:rPr>
              <w:t xml:space="preserve">Registro do consentimento</w:t>
            </w:r>
          </w:p>
        </w:tc>
        <w:tc>
          <w:tcPr>
            <w:tcW w:type="dxa" w:w="3400"/>
            <w:tcMar>
              <w:top w:type="dxa" w:w="60"/>
              <w:left w:type="dxa" w:w="90"/>
              <w:bottom w:type="dxa" w:w="60"/>
              <w:right w:type="dxa" w:w="90"/>
            </w:tcMar>
          </w:tcPr>
          <w:p>
            <w:pPr>
              <w:spacing w:after="0"/>
              <w:jc w:val="left"/>
            </w:pPr>
            <w:r>
              <w:rPr>
                <w:sz w:val="20"/>
                <w:szCs w:val="20"/>
              </w:rPr>
              <w:t xml:space="preserve">Aceitar o termo em acesso de amostra</w:t>
            </w:r>
          </w:p>
        </w:tc>
        <w:tc>
          <w:tcPr>
            <w:tcW w:type="dxa" w:w="3400"/>
            <w:tcMar>
              <w:top w:type="dxa" w:w="60"/>
              <w:left w:type="dxa" w:w="90"/>
              <w:bottom w:type="dxa" w:w="60"/>
              <w:right w:type="dxa" w:w="90"/>
            </w:tcMar>
          </w:tcPr>
          <w:p>
            <w:pPr>
              <w:spacing w:after="0"/>
              <w:jc w:val="left"/>
            </w:pPr>
            <w:r>
              <w:rPr>
                <w:sz w:val="20"/>
                <w:szCs w:val="20"/>
              </w:rPr>
              <w:t xml:space="preserve">Aceite, data e versão persistidos</w:t>
            </w:r>
          </w:p>
        </w:tc>
      </w:tr>
      <w:tr>
        <w:tc>
          <w:tcPr>
            <w:tcW w:type="dxa" w:w="2200"/>
            <w:tcMar>
              <w:top w:type="dxa" w:w="60"/>
              <w:left w:type="dxa" w:w="90"/>
              <w:bottom w:type="dxa" w:w="60"/>
              <w:right w:type="dxa" w:w="90"/>
            </w:tcMar>
          </w:tcPr>
          <w:p>
            <w:pPr>
              <w:spacing w:after="0"/>
              <w:jc w:val="left"/>
            </w:pPr>
            <w:r>
              <w:rPr>
                <w:sz w:val="20"/>
                <w:szCs w:val="20"/>
              </w:rPr>
              <w:t xml:space="preserve">Tratamento da recusa</w:t>
            </w:r>
          </w:p>
        </w:tc>
        <w:tc>
          <w:tcPr>
            <w:tcW w:type="dxa" w:w="3400"/>
            <w:tcMar>
              <w:top w:type="dxa" w:w="60"/>
              <w:left w:type="dxa" w:w="90"/>
              <w:bottom w:type="dxa" w:w="60"/>
              <w:right w:type="dxa" w:w="90"/>
            </w:tcMar>
          </w:tcPr>
          <w:p>
            <w:pPr>
              <w:spacing w:after="0"/>
              <w:jc w:val="left"/>
            </w:pPr>
            <w:r>
              <w:rPr>
                <w:sz w:val="20"/>
                <w:szCs w:val="20"/>
              </w:rPr>
              <w:t xml:space="preserve">Acionar a manifestação de recusa</w:t>
            </w:r>
          </w:p>
        </w:tc>
        <w:tc>
          <w:tcPr>
            <w:tcW w:type="dxa" w:w="3400"/>
            <w:tcMar>
              <w:top w:type="dxa" w:w="60"/>
              <w:left w:type="dxa" w:w="90"/>
              <w:bottom w:type="dxa" w:w="60"/>
              <w:right w:type="dxa" w:w="90"/>
            </w:tcMar>
          </w:tcPr>
          <w:p>
            <w:pPr>
              <w:spacing w:after="0"/>
              <w:jc w:val="left"/>
            </w:pPr>
            <w:r>
              <w:rPr>
                <w:sz w:val="20"/>
                <w:szCs w:val="20"/>
              </w:rPr>
              <w:t xml:space="preserve">Nenhum disparo posterior ao participante</w:t>
            </w:r>
          </w:p>
        </w:tc>
      </w:tr>
      <w:tr>
        <w:tc>
          <w:tcPr>
            <w:tcW w:type="dxa" w:w="2200"/>
            <w:tcMar>
              <w:top w:type="dxa" w:w="60"/>
              <w:left w:type="dxa" w:w="90"/>
              <w:bottom w:type="dxa" w:w="60"/>
              <w:right w:type="dxa" w:w="90"/>
            </w:tcMar>
          </w:tcPr>
          <w:p>
            <w:pPr>
              <w:spacing w:after="0"/>
              <w:jc w:val="left"/>
            </w:pPr>
            <w:r>
              <w:rPr>
                <w:sz w:val="20"/>
                <w:szCs w:val="20"/>
              </w:rPr>
              <w:t xml:space="preserve">Contato inválido</w:t>
            </w:r>
          </w:p>
        </w:tc>
        <w:tc>
          <w:tcPr>
            <w:tcW w:type="dxa" w:w="3400"/>
            <w:tcMar>
              <w:top w:type="dxa" w:w="60"/>
              <w:left w:type="dxa" w:w="90"/>
              <w:bottom w:type="dxa" w:w="60"/>
              <w:right w:type="dxa" w:w="90"/>
            </w:tcMar>
          </w:tcPr>
          <w:p>
            <w:pPr>
              <w:spacing w:after="0"/>
              <w:jc w:val="left"/>
            </w:pPr>
            <w:r>
              <w:rPr>
                <w:sz w:val="20"/>
                <w:szCs w:val="20"/>
              </w:rPr>
              <w:t xml:space="preserve">Incluir endereço inexistente na base</w:t>
            </w:r>
          </w:p>
        </w:tc>
        <w:tc>
          <w:tcPr>
            <w:tcW w:type="dxa" w:w="3400"/>
            <w:tcMar>
              <w:top w:type="dxa" w:w="60"/>
              <w:left w:type="dxa" w:w="90"/>
              <w:bottom w:type="dxa" w:w="60"/>
              <w:right w:type="dxa" w:w="90"/>
            </w:tcMar>
          </w:tcPr>
          <w:p>
            <w:pPr>
              <w:spacing w:after="0"/>
              <w:jc w:val="left"/>
            </w:pPr>
            <w:r>
              <w:rPr>
                <w:sz w:val="20"/>
                <w:szCs w:val="20"/>
              </w:rPr>
              <w:t xml:space="preserve">Retorno registrado e contato marcado</w:t>
            </w:r>
          </w:p>
        </w:tc>
      </w:tr>
      <w:tr>
        <w:tc>
          <w:tcPr>
            <w:tcW w:type="dxa" w:w="2200"/>
            <w:tcMar>
              <w:top w:type="dxa" w:w="60"/>
              <w:left w:type="dxa" w:w="90"/>
              <w:bottom w:type="dxa" w:w="60"/>
              <w:right w:type="dxa" w:w="90"/>
            </w:tcMar>
          </w:tcPr>
          <w:p>
            <w:pPr>
              <w:spacing w:after="0"/>
              <w:jc w:val="left"/>
            </w:pPr>
            <w:r>
              <w:rPr>
                <w:sz w:val="20"/>
                <w:szCs w:val="20"/>
              </w:rPr>
              <w:t xml:space="preserve">Extração dos resultados</w:t>
            </w:r>
          </w:p>
        </w:tc>
        <w:tc>
          <w:tcPr>
            <w:tcW w:type="dxa" w:w="3400"/>
            <w:tcMar>
              <w:top w:type="dxa" w:w="60"/>
              <w:left w:type="dxa" w:w="90"/>
              <w:bottom w:type="dxa" w:w="60"/>
              <w:right w:type="dxa" w:w="90"/>
            </w:tcMar>
          </w:tcPr>
          <w:p>
            <w:pPr>
              <w:spacing w:after="0"/>
              <w:jc w:val="left"/>
            </w:pPr>
            <w:r>
              <w:rPr>
                <w:sz w:val="20"/>
                <w:szCs w:val="20"/>
              </w:rPr>
              <w:t xml:space="preserve">Exportar o conjunto de respostas</w:t>
            </w:r>
          </w:p>
        </w:tc>
        <w:tc>
          <w:tcPr>
            <w:tcW w:type="dxa" w:w="3400"/>
            <w:tcMar>
              <w:top w:type="dxa" w:w="60"/>
              <w:left w:type="dxa" w:w="90"/>
              <w:bottom w:type="dxa" w:w="60"/>
              <w:right w:type="dxa" w:w="90"/>
            </w:tcMar>
          </w:tcPr>
          <w:p>
            <w:pPr>
              <w:spacing w:after="0"/>
              <w:jc w:val="left"/>
            </w:pPr>
            <w:r>
              <w:rPr>
                <w:sz w:val="20"/>
                <w:szCs w:val="20"/>
              </w:rPr>
              <w:t xml:space="preserve">Arquivo íntegro e estruturado</w:t>
            </w:r>
          </w:p>
        </w:tc>
      </w:tr>
      <w:tr>
        <w:tc>
          <w:tcPr>
            <w:tcW w:type="dxa" w:w="2200"/>
            <w:tcMar>
              <w:top w:type="dxa" w:w="60"/>
              <w:left w:type="dxa" w:w="90"/>
              <w:bottom w:type="dxa" w:w="60"/>
              <w:right w:type="dxa" w:w="90"/>
            </w:tcMar>
          </w:tcPr>
          <w:p>
            <w:pPr>
              <w:spacing w:after="0"/>
              <w:jc w:val="left"/>
            </w:pPr>
            <w:r>
              <w:rPr>
                <w:sz w:val="20"/>
                <w:szCs w:val="20"/>
              </w:rPr>
              <w:t xml:space="preserve">Responsividade</w:t>
            </w:r>
          </w:p>
        </w:tc>
        <w:tc>
          <w:tcPr>
            <w:tcW w:type="dxa" w:w="3400"/>
            <w:tcMar>
              <w:top w:type="dxa" w:w="60"/>
              <w:left w:type="dxa" w:w="90"/>
              <w:bottom w:type="dxa" w:w="60"/>
              <w:right w:type="dxa" w:w="90"/>
            </w:tcMar>
          </w:tcPr>
          <w:p>
            <w:pPr>
              <w:spacing w:after="0"/>
              <w:jc w:val="left"/>
            </w:pPr>
            <w:r>
              <w:rPr>
                <w:sz w:val="20"/>
                <w:szCs w:val="20"/>
              </w:rPr>
              <w:t xml:space="preserve">Abrir o instrumento em dispositivo móvel</w:t>
            </w:r>
          </w:p>
        </w:tc>
        <w:tc>
          <w:tcPr>
            <w:tcW w:type="dxa" w:w="3400"/>
            <w:tcMar>
              <w:top w:type="dxa" w:w="60"/>
              <w:left w:type="dxa" w:w="90"/>
              <w:bottom w:type="dxa" w:w="60"/>
              <w:right w:type="dxa" w:w="90"/>
            </w:tcMar>
          </w:tcPr>
          <w:p>
            <w:pPr>
              <w:spacing w:after="0"/>
              <w:jc w:val="left"/>
            </w:pPr>
            <w:r>
              <w:rPr>
                <w:sz w:val="20"/>
                <w:szCs w:val="20"/>
              </w:rPr>
              <w:t xml:space="preserve">Instrumento utilizável sem perda de função</w:t>
            </w:r>
          </w:p>
        </w:tc>
      </w:tr>
    </w:tbl>
    <w:p>
      <w:pPr>
        <w:spacing w:after="180"/>
      </w:pPr>
    </w:p>
    <w:p>
      <w:pPr>
        <w:spacing w:after="160" w:line="276"/>
        <w:jc w:val="both"/>
      </w:pPr>
      <w:r>
        <w:rPr>
          <w:sz w:val="22"/>
          <w:szCs w:val="22"/>
        </w:rPr>
        <w:t xml:space="preserve">A base sintética terá volume aproximado de quinhentos registros, distribuídos ao longo de dez anos de conclusão, de modo a reproduzir a ordem de grandeza de uma base institucional de curso e a permitir a verificação do comportamento das rotinas sob carga de disparo em lote. Os parâmetros de adesão empregados na simulação, quando necessários para exercitar cenários de resposta parcial, derivam das taxas relatadas na literatura sistematizada na Fase 1 e têm finalidade exclusivamente técnica. Registre-se expressamente que os números produzidos na simulação não constituem resultados sobre a situação profissional de egressos, não comportando interpretação substantiva a esse respeito; não se realiza, tampouco, comparação quantitativa com o instrumento vigente, cujo caráter aberto e sem identificação do respondente não produz série histórica utilizável para esse fim.</w:t>
      </w:r>
    </w:p>
    <w:p>
      <w:pPr>
        <w:pStyle w:val="Heading2"/>
        <w:spacing w:after="160" w:before="280"/>
      </w:pPr>
      <w:r>
        <w:rPr>
          <w:b/>
          <w:bCs/>
          <w:color w:val="1F3864"/>
          <w:sz w:val="26"/>
          <w:szCs w:val="26"/>
        </w:rPr>
        <w:t xml:space="preserve">Fase 7: Disponibilização dos Resultados, Documentação e Redação</w:t>
      </w:r>
    </w:p>
    <w:p>
      <w:pPr>
        <w:spacing w:after="160" w:line="276"/>
        <w:jc w:val="both"/>
      </w:pPr>
      <w:r>
        <w:rPr>
          <w:sz w:val="22"/>
          <w:szCs w:val="22"/>
        </w:rPr>
        <w:t xml:space="preserve">A fase final compreenderá a extração e a organização dos dados produzidos na simulação, com sua entrega em formato adequado ao uso pela gestão acadêmica. Condicionalmente ao cumprimento das fases anteriores, será implementado painel de visualização dos indicadores, consumindo os dados por meio da interface de programação da própria plataforma e apresentando-os de forma agregada, com atenção aos diferentes níveis de acesso pertinentes a uma instituição multicampi. Não sendo viável sua implementação no prazo, o painel será especificado e documentado como trabalho futuro. Por fim, serão consolidados a documentação técnica, o guia de replicação e o relatório final, incluindo as recomendações para eventual implantação institucional futura e o registro da necessidade de apreciação ética prévia a qualquer aplicação junto a egressos reais.</w:t>
      </w:r>
    </w:p>
    <w:p>
      <w:pPr>
        <w:pStyle w:val="Heading1"/>
        <w:spacing w:after="160" w:before="280"/>
      </w:pPr>
      <w:r>
        <w:rPr>
          <w:b/>
          <w:bCs/>
          <w:color w:val="1F3864"/>
          <w:sz w:val="26"/>
          <w:szCs w:val="26"/>
        </w:rPr>
        <w:t xml:space="preserve">Viabilidade de Execução</w:t>
      </w:r>
    </w:p>
    <w:p>
      <w:pPr>
        <w:spacing w:after="160" w:line="276"/>
        <w:jc w:val="both"/>
      </w:pPr>
      <w:r>
        <w:rPr>
          <w:sz w:val="22"/>
          <w:szCs w:val="22"/>
        </w:rPr>
        <w:t xml:space="preserve">A viabilidade desta pesquisa é assegurada pela independência em relação a autorizações e infraestruturas de terceiros, pela adoção de ferramentas livres e pela delimitação do escopo a atividades integralmente executáveis pela equipe do projeto.</w:t>
      </w:r>
    </w:p>
    <w:p>
      <w:pPr>
        <w:pStyle w:val="Heading2"/>
        <w:spacing w:after="160" w:before="280"/>
      </w:pPr>
      <w:r>
        <w:rPr>
          <w:b/>
          <w:bCs/>
          <w:color w:val="1F3864"/>
          <w:sz w:val="26"/>
          <w:szCs w:val="26"/>
        </w:rPr>
        <w:t xml:space="preserve">1. Recursos Humanos e Dedicação de Tempo</w:t>
      </w:r>
    </w:p>
    <w:p>
      <w:pPr>
        <w:pStyle w:val="ListParagraph"/>
        <w:numPr>
          <w:ilvl w:val="0"/>
          <w:numId w:val="3"/>
        </w:numPr>
        <w:spacing w:after="100" w:line="276"/>
        <w:jc w:val="both"/>
      </w:pPr>
      <w:r>
        <w:rPr>
          <w:sz w:val="22"/>
          <w:szCs w:val="22"/>
        </w:rPr>
        <w:t xml:space="preserve">Orientador: responsável pela coordenação das atividades, pela orientação do estudante, pelo acompanhamento técnico do desenvolvimento e pela revisão dos produtos gerados.</w:t>
      </w:r>
    </w:p>
    <w:p>
      <w:pPr>
        <w:pStyle w:val="ListParagraph"/>
        <w:numPr>
          <w:ilvl w:val="0"/>
          <w:numId w:val="3"/>
        </w:numPr>
        <w:spacing w:after="100" w:line="276"/>
        <w:jc w:val="both"/>
      </w:pPr>
      <w:r>
        <w:rPr>
          <w:sz w:val="22"/>
          <w:szCs w:val="22"/>
        </w:rPr>
        <w:t xml:space="preserve">Estudante: responsável pela execução das atividades de pesquisa, pela implantação e configuração do ambiente, pela modelagem da estrutura de coleta, pela implementação das rotinas de automação, pela condução das simulações de validação e pela elaboração da documentação, com dedicação compatível com a carga horária prevista para a atividade.</w:t>
      </w:r>
    </w:p>
    <w:p>
      <w:pPr>
        <w:pStyle w:val="Heading2"/>
        <w:spacing w:after="160" w:before="280"/>
      </w:pPr>
      <w:r>
        <w:rPr>
          <w:b/>
          <w:bCs/>
          <w:color w:val="1F3864"/>
          <w:sz w:val="26"/>
          <w:szCs w:val="26"/>
        </w:rPr>
        <w:t xml:space="preserve">2. Infraestrutura e Recursos Computacionais</w:t>
      </w:r>
    </w:p>
    <w:p>
      <w:pPr>
        <w:spacing w:after="160" w:line="276"/>
        <w:jc w:val="both"/>
      </w:pPr>
      <w:r>
        <w:rPr>
          <w:sz w:val="22"/>
          <w:szCs w:val="22"/>
        </w:rPr>
        <w:t xml:space="preserve">O projeto não requer aquisição de equipamentos, contratação de serviços, concessão de acesso a ambientes institucionais de produção ou disponibilização de bases de dados institucionais. A plataforma adotada é software livre, passível de implantação por conteinerização em equipamento de uso pessoal ou em serviços de hospedagem em camada gratuita. A ausência de dependência externa constitui, neste caso, fator determinante de viabilidade, uma vez que elimina do caminho crítico do cronograma as tramitações administrativas cuja duração não é controlável pela equipe.</w:t>
      </w:r>
    </w:p>
    <w:p>
      <w:pPr>
        <w:pStyle w:val="Heading2"/>
        <w:spacing w:after="160" w:before="280"/>
      </w:pPr>
      <w:r>
        <w:rPr>
          <w:b/>
          <w:bCs/>
          <w:color w:val="1F3864"/>
          <w:sz w:val="26"/>
          <w:szCs w:val="26"/>
        </w:rPr>
        <w:t xml:space="preserve">3. Recursos de Software</w:t>
      </w:r>
    </w:p>
    <w:p>
      <w:pPr>
        <w:spacing w:after="160" w:line="276"/>
        <w:jc w:val="both"/>
      </w:pPr>
      <w:r>
        <w:rPr>
          <w:sz w:val="22"/>
          <w:szCs w:val="22"/>
        </w:rPr>
        <w:t xml:space="preserve">Serão utilizados exclusivamente softwares gratuitos, de código aberto ou já licenciados institucionalmente. As rotinas de geração de base sintética, de extração e de eventual visualização de dados serão desenvolvidas com linguagens e bibliotecas de uso aberto e ampla documentação. Essa estratégia elimina custos, favorece a reprodutibilidade e facilita a sucessão técnica do projeto por estudantes em períodos posteriores, aspecto relevante para a continuidade de soluções desenvolvidas em contexto acadêmico.</w:t>
      </w:r>
    </w:p>
    <w:p>
      <w:pPr>
        <w:pStyle w:val="Heading2"/>
        <w:spacing w:after="160" w:before="280"/>
      </w:pPr>
      <w:r>
        <w:rPr>
          <w:b/>
          <w:bCs/>
          <w:color w:val="1F3864"/>
          <w:sz w:val="26"/>
          <w:szCs w:val="26"/>
        </w:rPr>
        <w:t xml:space="preserve">4. Aspectos Éticos</w:t>
      </w:r>
    </w:p>
    <w:p>
      <w:pPr>
        <w:spacing w:after="160" w:line="276"/>
        <w:jc w:val="both"/>
      </w:pPr>
      <w:r>
        <w:rPr>
          <w:sz w:val="22"/>
          <w:szCs w:val="22"/>
        </w:rPr>
        <w:t xml:space="preserve">Conforme delimitado, o projeto não envolve coleta de dados junto a seres humanos, operando exclusivamente sobre base sintética. Não há, portanto, tratamento de dados pessoais, contato com egressos ou obtenção de respostas de participantes reais, o que afasta a caracterização do trabalho como pesquisa com seres humanos e dispensa sua submissão ao Comitê de Ética em Pesquisa. Essa delimitação, além de compatibilizar o projeto com o prazo de execução, alinha-se ao princípio da necessidade previsto na legislação de proteção de dados, segundo o qual o tratamento deve limitar-se ao mínimo indispensável à finalidade pretendida.</w:t>
      </w:r>
    </w:p>
    <w:p>
      <w:pPr>
        <w:spacing w:after="160" w:line="276"/>
        <w:jc w:val="both"/>
      </w:pPr>
      <w:r>
        <w:rPr>
          <w:sz w:val="22"/>
          <w:szCs w:val="22"/>
        </w:rPr>
        <w:t xml:space="preserve">Dessa forma, o projeto dispõe dos recursos humanos, físicos e computacionais necessários à realização das atividades propostas dentro do prazo estabelecido.</w:t>
      </w:r>
    </w:p>
    <w:p>
      <w:pPr>
        <w:pStyle w:val="Heading1"/>
        <w:spacing w:after="160" w:before="280"/>
      </w:pPr>
      <w:r>
        <w:rPr>
          <w:b/>
          <w:bCs/>
          <w:color w:val="1F3864"/>
          <w:sz w:val="26"/>
          <w:szCs w:val="26"/>
        </w:rPr>
        <w:t xml:space="preserve">Resultados Esperados e Disseminação</w:t>
      </w:r>
    </w:p>
    <w:p>
      <w:pPr>
        <w:spacing w:after="160" w:line="276"/>
        <w:jc w:val="both"/>
      </w:pPr>
      <w:r>
        <w:rPr>
          <w:sz w:val="22"/>
          <w:szCs w:val="22"/>
        </w:rPr>
        <w:t xml:space="preserve">Ao término da execução, espera-se obter, como principal produto tecnológico, um mecanismo de acompanhamento de egressos funcional e validado, dotado de rastreabilidade de participantes, automação de convites e lembretes, registro eletrônico de consentimento e extração estruturada de resultados, acompanhado de guia de replicação que permita sua implantação por outras instituições. Espera-se, adicionalmente, a entrega do quadro comparativo de estratégias de engajamento sistematizadas a partir da literatura, do modelo estrutural do instrumento de coleta e do roteiro de testes com as evidências de validação obtidas.</w:t>
      </w:r>
    </w:p>
    <w:p>
      <w:pPr>
        <w:spacing w:after="160" w:line="276"/>
        <w:jc w:val="both"/>
      </w:pPr>
      <w:r>
        <w:rPr>
          <w:sz w:val="22"/>
          <w:szCs w:val="22"/>
        </w:rPr>
        <w:t xml:space="preserve">No âmbito institucional, o trabalho oferece à instituição um artefato pronto para avaliação e eventual adoção, cujo custo de implantação é reduzido e cuja documentação diminui a barreira técnica de sua incorporação. As recomendações produzidas poderão subsidiar decisões futuras sobre o aprimoramento dos instrumentos de acompanhamento de egressos do curso de Tecnologia em Análise e Desenvolvimento de Sistemas.</w:t>
      </w:r>
    </w:p>
    <w:p>
      <w:pPr>
        <w:spacing w:after="160" w:line="276"/>
        <w:jc w:val="both"/>
      </w:pPr>
      <w:r>
        <w:rPr>
          <w:sz w:val="22"/>
          <w:szCs w:val="22"/>
        </w:rPr>
        <w:t xml:space="preserve">Do ponto de vista científico, a pesquisa produzirá evidências sobre a exequibilidade de mecanismos de acompanhamento de egressos construídos com recursos de custo praticamente nulo, tema de interesse para instituições públicas que enfrentam restrições orçamentárias e operacionais semelhantes. A disseminação dos resultados prevê a submissão do relatório final e a apresentação em evento institucional de iniciação científica e tecnológica, além da elaboração de ao menos um trabalho, na forma de artigo completo ou resumo expandido, para eventos ou periódicos das áreas de Informática na Educação, Sistemas de Informação ou Avaliação Institucional. Pretende-se, por fim, disponibilizar publicamente a documentação técnica, o guia de replicação e os artefatos de configuração produzidos, em repositório de acesso aberto, de modo a permitir que outras instituições adaptem a solução a seus próprios contextos.</w:t>
      </w:r>
    </w:p>
    <w:p>
      <w:pPr>
        <w:pStyle w:val="Heading1"/>
        <w:spacing w:after="160" w:before="280"/>
      </w:pPr>
      <w:r>
        <w:rPr>
          <w:b/>
          <w:bCs/>
          <w:color w:val="1F3864"/>
          <w:sz w:val="26"/>
          <w:szCs w:val="26"/>
        </w:rPr>
        <w:t xml:space="preserve">Referências</w:t>
      </w:r>
    </w:p>
    <w:p>
      <w:pPr>
        <w:spacing w:after="140" w:line="260"/>
        <w:jc w:val="left"/>
      </w:pPr>
      <w:r>
        <w:rPr>
          <w:sz w:val="20"/>
          <w:szCs w:val="20"/>
        </w:rPr>
        <w:t xml:space="preserve">ALVARES, L.; LOUTFI, E.; CAMPOS, F. Onde estão meus egressos? Relato sobre um mapeamento automatizado da vida profissional dos formados em Sistemas de Informação da UNIRIO. In: WORKSHOP SOBRE EDUCAÇÃO EM COMPUTAÇÃO (WEI), 2020. Anais [...]. Porto Alegre: SBC, 2020. Disponível em: https://sol.sbc.org.br/index.php/wei/article/view/11129. Acesso em: 30 maio 2026.</w:t>
      </w:r>
    </w:p>
    <w:p>
      <w:pPr>
        <w:spacing w:after="140" w:line="260"/>
        <w:jc w:val="left"/>
      </w:pPr>
      <w:r>
        <w:rPr>
          <w:sz w:val="20"/>
          <w:szCs w:val="20"/>
        </w:rPr>
        <w:t xml:space="preserve">BASSO, F. et al. Inovação no acompanhamento de egressos: avaliação do SAVE a partir da percepção de coordenadores de curso. In: ESCOLA REGIONAL DE ENGENHARIA DE SOFTWARE (ERES), 2024. Anais [...]. Porto Alegre: SBC, 2024. Disponível em: https://sol.sbc.org.br/index.php/eres/article/view/31845. Acesso em: 30 maio 2026.</w:t>
      </w:r>
    </w:p>
    <w:p>
      <w:pPr>
        <w:spacing w:after="140" w:line="260"/>
        <w:jc w:val="left"/>
      </w:pPr>
      <w:r>
        <w:rPr>
          <w:sz w:val="20"/>
          <w:szCs w:val="20"/>
        </w:rPr>
        <w:t xml:space="preserve">BRASIL. Lei nº 10.861, de 14 de abril de 2004. Institui o Sistema Nacional de Avaliação da Educação Superior – SINAES. Brasília, DF: Presidência da República, 2004.</w:t>
      </w:r>
    </w:p>
    <w:p>
      <w:pPr>
        <w:spacing w:after="140" w:line="260"/>
        <w:jc w:val="left"/>
      </w:pPr>
      <w:r>
        <w:rPr>
          <w:sz w:val="20"/>
          <w:szCs w:val="20"/>
        </w:rPr>
        <w:t xml:space="preserve">BRASIL. Lei nº 13.709, de 14 de agosto de 2018. Lei Geral de Proteção de Dados Pessoais (LGPD). Brasília, DF: Presidência da República, 2018.</w:t>
      </w:r>
    </w:p>
    <w:p>
      <w:pPr>
        <w:spacing w:after="140" w:line="260"/>
        <w:jc w:val="left"/>
      </w:pPr>
      <w:r>
        <w:rPr>
          <w:sz w:val="20"/>
          <w:szCs w:val="20"/>
        </w:rPr>
        <w:t xml:space="preserve">CABRAL, T.; SILVA, L.; PACHECO, R. Arquitetura frontend e interface de um sistema de acompanhamento de egressos. Uberlândia: Universidade Federal de Uberlândia, 2016. Disponível em: https://repositorio.ufu.br/bitstream/123456789/45437/1/ArquiteturaFrontendInterface.pdf. Acesso em: 30 maio 2026.</w:t>
      </w:r>
    </w:p>
    <w:p>
      <w:pPr>
        <w:spacing w:after="140" w:line="260"/>
        <w:jc w:val="left"/>
      </w:pPr>
      <w:r>
        <w:rPr>
          <w:sz w:val="20"/>
          <w:szCs w:val="20"/>
        </w:rPr>
        <w:t xml:space="preserve">COSTA, E. S.; DIAS, T. M. R. Plataforma RAEG: ferramenta de registro e acompanhamento de egressos da Educação Profissional e Tecnológica. Revista Científica em Educação Profissional e Tecnológica, Vitória, 2023. Disponível em: https://revistas.ifes.edu.br/index.php/ept/article/view/3134. Acesso em: 30 maio 2026.</w:t>
      </w:r>
    </w:p>
    <w:p>
      <w:pPr>
        <w:spacing w:after="140" w:line="260"/>
        <w:jc w:val="left"/>
      </w:pPr>
      <w:r>
        <w:rPr>
          <w:sz w:val="20"/>
          <w:szCs w:val="20"/>
        </w:rPr>
        <w:t xml:space="preserve">COSTA, R. Inserção e trajetória profissional dos egressos de Estatística da UFOP. Ouro Preto: Universidade Federal de Ouro Preto, 2020. Disponível em: https://monografias.ufop.br/bitstream/35400000/9120/1/MONOGRAFIA_Inser%C3%A7%C3%A3oTrajet%C3%B3riaProfissional.pdf. Acesso em: 30 maio 2026.</w:t>
      </w:r>
    </w:p>
    <w:p>
      <w:pPr>
        <w:spacing w:after="140" w:line="260"/>
        <w:jc w:val="left"/>
      </w:pPr>
      <w:r>
        <w:rPr>
          <w:sz w:val="20"/>
          <w:szCs w:val="20"/>
        </w:rPr>
        <w:t xml:space="preserve">DAVIS, F. D. Perceived usefulness, perceived ease of use, and user acceptance of information technology. MIS Quarterly, v. 13, n. 3, p. 319-340, 1989.</w:t>
      </w:r>
    </w:p>
    <w:p>
      <w:pPr>
        <w:spacing w:after="140" w:line="260"/>
        <w:jc w:val="left"/>
      </w:pPr>
      <w:r>
        <w:rPr>
          <w:sz w:val="20"/>
          <w:szCs w:val="20"/>
        </w:rPr>
        <w:t xml:space="preserve">INSTITUTO FEDERAL DE EDUCAÇÃO, CIÊNCIA E TECNOLOGIA DE SÃO PAULO (IFSP). Resolução Normativa nº 13, de 2022. Institui a Política de Acompanhamento de Egressos (PAEg). São Paulo: IFSP, 2022.</w:t>
      </w:r>
    </w:p>
    <w:p>
      <w:pPr>
        <w:spacing w:after="140" w:line="260"/>
        <w:jc w:val="left"/>
      </w:pPr>
      <w:r>
        <w:rPr>
          <w:sz w:val="20"/>
          <w:szCs w:val="20"/>
        </w:rPr>
        <w:t xml:space="preserve">INSTITUTO FEDERAL DE EDUCAÇÃO, CIÊNCIA E TECNOLOGIA DE SÃO PAULO (IFSP). Acompanhamento dos egressos. São Paulo: IFSP, 2022. Disponível em: https://ifsp.edu.br/index.php/ceua/42-assuntos/ensino/2895-acompanhamento-dos-egressos. Acesso em: 30 maio 2026.</w:t>
      </w:r>
    </w:p>
    <w:p>
      <w:pPr>
        <w:spacing w:after="140" w:line="260"/>
        <w:jc w:val="left"/>
      </w:pPr>
      <w:r>
        <w:rPr>
          <w:sz w:val="20"/>
          <w:szCs w:val="20"/>
        </w:rPr>
        <w:t xml:space="preserve">INSTITUTO FEDERAL DO ESPÍRITO SANTO (IFES). Pesquisa de acompanhamento de egressos do Ifes: versão 2025. Vitória: Pró-Reitoria de Extensão, 2025. Disponível em: https://proex.ifes.edu.br/images/conteudo/Direc/acompanhamento_dos_egressos/Pesquisa_de_Acompanhamento_de_Egressos_do_Ifes_Versao_2025.pdf. Acesso em: 30 maio 2026.</w:t>
      </w:r>
    </w:p>
    <w:p>
      <w:pPr>
        <w:spacing w:after="140" w:line="260"/>
        <w:jc w:val="left"/>
      </w:pPr>
      <w:r>
        <w:rPr>
          <w:sz w:val="20"/>
          <w:szCs w:val="20"/>
        </w:rPr>
        <w:t xml:space="preserve">INSTITUTO FEDERAL DO TOCANTINS (IFTO). Política de proteção de dados pessoais. Palmas: IFTO, 2021. Disponível em: https://portal.ifto.edu.br/acesso-a-informacao/privacidade-e-protecao-de-dados/documentos-lgpd-ifto/PPDP.pdf. Acesso em: 30 maio 2026.</w:t>
      </w:r>
    </w:p>
    <w:p>
      <w:pPr>
        <w:spacing w:after="140" w:line="260"/>
        <w:jc w:val="left"/>
      </w:pPr>
      <w:r>
        <w:rPr>
          <w:sz w:val="20"/>
          <w:szCs w:val="20"/>
        </w:rPr>
        <w:t xml:space="preserve">LOUSADA, A. C. Z.; MARTINS, D. Acompanhamento de egressos como instrumento de gestão. Redalyc, 2019. Disponível em: https://www.redalyc.org/journal/3215/321554297015/html/. Acesso em: 30 maio 2026.</w:t>
      </w:r>
    </w:p>
    <w:p>
      <w:pPr>
        <w:spacing w:after="140" w:line="260"/>
        <w:jc w:val="left"/>
      </w:pPr>
      <w:r>
        <w:rPr>
          <w:sz w:val="20"/>
          <w:szCs w:val="20"/>
        </w:rPr>
        <w:t xml:space="preserve">SILVA, A. et al. Sistemas de acompanhamento de egressos em Instituições de Ensino Superior. Research, Society and Development, 2022. Disponível em: https://rsdjournal.org/rsd/article/download/26281/23609/315940. Acesso em: 30 maio 2026.</w:t>
      </w:r>
    </w:p>
    <w:p>
      <w:pPr>
        <w:spacing w:after="140" w:line="260"/>
        <w:jc w:val="left"/>
      </w:pPr>
      <w:r>
        <w:rPr>
          <w:sz w:val="20"/>
          <w:szCs w:val="20"/>
        </w:rPr>
        <w:t xml:space="preserve">SILVEIRA, R. et al. Desenvolvimento de uma ferramenta computacional para acompanhamento de egressos. Revista Educere et Educare, Umuarama: Unipar, 2019. Disponível em: https://revistas.unipar.br/index.php/educere/article/download/10380/4890/33213. Acesso em: 30 maio 2026.</w:t>
      </w:r>
    </w:p>
    <w:p>
      <w:pPr>
        <w:spacing w:after="140" w:line="260"/>
        <w:jc w:val="left"/>
      </w:pPr>
      <w:r>
        <w:rPr>
          <w:sz w:val="20"/>
          <w:szCs w:val="20"/>
        </w:rPr>
        <w:t xml:space="preserve">UNIVERSIDADE DE BRASÍLIA (UnB). Egressos RAIS: Educação Física. Brasília: CEMEFEF/UnB, 2019. Disponível em: https://cemefef.unb.br/images/egressos/Rais_Educao_Fsica_FEF.pdf. Acesso em: 30 maio 2026.</w:t>
      </w:r>
    </w:p>
    <w:p>
      <w:pPr>
        <w:spacing w:after="140" w:line="260"/>
        <w:jc w:val="left"/>
      </w:pPr>
      <w:r>
        <w:rPr>
          <w:sz w:val="20"/>
          <w:szCs w:val="20"/>
        </w:rPr>
        <w:t xml:space="preserve">UNIVERSIDADE DE SÃO PAULO (USP). Alumni USP. São Paulo: USP, 2026. Disponível em: https://alumni.usp.br/. Acesso em: 30 maio 2026.</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2026-09-14T13:45:17.667Z</dcterms:created>
  <dcterms:modified xsi:type="dcterms:W3CDTF">2026-09-14T13:45:17.668Z</dcterms:modified>
</cp:coreProperties>
</file>

<file path=docProps/custom.xml><?xml version="1.0" encoding="utf-8"?>
<Properties xmlns="http://schemas.openxmlformats.org/officeDocument/2006/custom-properties" xmlns:vt="http://schemas.openxmlformats.org/officeDocument/2006/docPropsVTypes"/>
</file>