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8" w:firstLine="0"/>
        <w:jc w:val="center"/>
        <w:rPr>
          <w:rFonts w:ascii="Arial" w:cs="Arial" w:eastAsia="Arial" w:hAnsi="Arial"/>
          <w:b w:val="1"/>
          <w:smallCaps w:val="1"/>
          <w:sz w:val="16"/>
          <w:szCs w:val="16"/>
        </w:rPr>
      </w:pPr>
      <w:r w:rsidDel="00000000" w:rsidR="00000000" w:rsidRPr="00000000">
        <w:rPr>
          <w:rFonts w:ascii="Arial" w:cs="Arial" w:eastAsia="Arial" w:hAnsi="Arial"/>
          <w:b w:val="1"/>
          <w:smallCaps w:val="1"/>
          <w:sz w:val="22"/>
          <w:szCs w:val="22"/>
          <w:rtl w:val="0"/>
        </w:rPr>
        <w:t xml:space="preserve">UNIVERSIDADE ESTADUAL DE FEIRA DE SANTANA</w:t>
      </w:r>
      <w:r w:rsidDel="00000000" w:rsidR="00000000" w:rsidRPr="00000000">
        <w:rPr>
          <w:rFonts w:ascii="Arial" w:cs="Arial" w:eastAsia="Arial" w:hAnsi="Arial"/>
          <w:b w:val="1"/>
          <w:smallCaps w:val="1"/>
          <w:rtl w:val="0"/>
        </w:rPr>
        <w:br w:type="textWrapping"/>
      </w:r>
      <w:r w:rsidDel="00000000" w:rsidR="00000000" w:rsidRPr="00000000">
        <w:rPr>
          <w:rFonts w:ascii="Arial" w:cs="Arial" w:eastAsia="Arial" w:hAnsi="Arial"/>
          <w:sz w:val="12"/>
          <w:szCs w:val="12"/>
          <w:rtl w:val="0"/>
        </w:rPr>
        <w:t xml:space="preserve">Autorizada pelo Decreto Federal n</w:t>
      </w:r>
      <w:r w:rsidDel="00000000" w:rsidR="00000000" w:rsidRPr="00000000">
        <w:rPr>
          <w:rFonts w:ascii="Arial" w:cs="Arial" w:eastAsia="Arial" w:hAnsi="Arial"/>
          <w:sz w:val="12"/>
          <w:szCs w:val="12"/>
          <w:vertAlign w:val="superscript"/>
          <w:rtl w:val="0"/>
        </w:rPr>
        <w:t xml:space="preserve">o</w:t>
      </w:r>
      <w:r w:rsidDel="00000000" w:rsidR="00000000" w:rsidRPr="00000000">
        <w:rPr>
          <w:rFonts w:ascii="Arial" w:cs="Arial" w:eastAsia="Arial" w:hAnsi="Arial"/>
          <w:sz w:val="12"/>
          <w:szCs w:val="12"/>
          <w:rtl w:val="0"/>
        </w:rPr>
        <w:t xml:space="preserve"> 77.496 de 27/04/76</w:t>
        <w:br w:type="textWrapping"/>
        <w:t xml:space="preserve">Recredenciamento pelo Decreto n°17.228 de 25/11/2016</w:t>
        <w:br w:type="textWrapping"/>
      </w:r>
      <w:r w:rsidDel="00000000" w:rsidR="00000000" w:rsidRPr="00000000">
        <w:rPr>
          <w:rFonts w:ascii="Arial" w:cs="Arial" w:eastAsia="Arial" w:hAnsi="Arial"/>
          <w:b w:val="1"/>
          <w:smallCaps w:val="1"/>
          <w:sz w:val="16"/>
          <w:szCs w:val="16"/>
          <w:rtl w:val="0"/>
        </w:rPr>
        <w:t xml:space="preserve">PRÓ-REITORIA DE PESQUISA E PÓS-GRADUAÇÃO</w:t>
        <w:br w:type="textWrapping"/>
      </w:r>
      <w:r w:rsidDel="00000000" w:rsidR="00000000" w:rsidRPr="00000000">
        <w:rPr>
          <w:rFonts w:ascii="Arial" w:cs="Arial" w:eastAsia="Arial" w:hAnsi="Arial"/>
          <w:smallCaps w:val="1"/>
          <w:sz w:val="16"/>
          <w:szCs w:val="16"/>
          <w:rtl w:val="0"/>
        </w:rPr>
        <w:t xml:space="preserve">COORDENAÇÃO DE INICIAÇÃO CIENTÍFICA</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827822</wp:posOffset>
                </wp:positionH>
                <wp:positionV relativeFrom="paragraph">
                  <wp:posOffset>0</wp:posOffset>
                </wp:positionV>
                <wp:extent cx="715228" cy="614363"/>
                <wp:effectExtent b="0" l="0" r="0" t="0"/>
                <wp:wrapNone/>
                <wp:docPr id="1" name="" descr="Brasão da UEFS"/>
                <a:graphic>
                  <a:graphicData uri="http://schemas.microsoft.com/office/word/2010/wordprocessingGroup">
                    <wpg:wgp>
                      <wpg:cNvGrpSpPr/>
                      <wpg:grpSpPr>
                        <a:xfrm>
                          <a:off x="0" y="0"/>
                          <a:ext cx="715228" cy="614363"/>
                          <a:chOff x="4936425" y="3425350"/>
                          <a:chExt cx="819150" cy="709300"/>
                        </a:xfrm>
                      </wpg:grpSpPr>
                      <wpg:grpSp>
                        <wpg:cNvGrpSpPr/>
                        <wpg:grpSpPr>
                          <a:xfrm>
                            <a:off x="4936425" y="3425353"/>
                            <a:ext cx="819150" cy="709295"/>
                            <a:chOff x="4936425" y="3425353"/>
                            <a:chExt cx="819150" cy="709295"/>
                          </a:xfrm>
                        </wpg:grpSpPr>
                        <wps:wsp>
                          <wps:cNvSpPr/>
                          <wps:cNvPr id="3" name="Shape 3"/>
                          <wps:spPr>
                            <a:xfrm>
                              <a:off x="4936425" y="3425353"/>
                              <a:ext cx="819150" cy="709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36425" y="3425353"/>
                              <a:ext cx="819150" cy="709295"/>
                              <a:chOff x="2847" y="1171"/>
                              <a:chExt cx="1290" cy="1117"/>
                            </a:xfrm>
                          </wpg:grpSpPr>
                          <wps:wsp>
                            <wps:cNvSpPr/>
                            <wps:cNvPr id="5" name="Shape 5"/>
                            <wps:spPr>
                              <a:xfrm>
                                <a:off x="2847" y="1171"/>
                                <a:ext cx="1275" cy="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2847" y="1171"/>
                                <a:ext cx="463" cy="727"/>
                              </a:xfrm>
                              <a:prstGeom prst="rect">
                                <a:avLst/>
                              </a:prstGeom>
                              <a:noFill/>
                              <a:ln>
                                <a:noFill/>
                              </a:ln>
                            </pic:spPr>
                          </pic:pic>
                          <pic:pic>
                            <pic:nvPicPr>
                              <pic:cNvPr id="7" name="Shape 7"/>
                              <pic:cNvPicPr preferRelativeResize="0"/>
                            </pic:nvPicPr>
                            <pic:blipFill rotWithShape="1">
                              <a:blip r:embed="rId2">
                                <a:alphaModFix/>
                              </a:blip>
                              <a:srcRect b="0" l="0" r="0" t="0"/>
                              <a:stretch/>
                            </pic:blipFill>
                            <pic:spPr>
                              <a:xfrm>
                                <a:off x="3386" y="2006"/>
                                <a:ext cx="751" cy="282"/>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827822</wp:posOffset>
                </wp:positionH>
                <wp:positionV relativeFrom="paragraph">
                  <wp:posOffset>0</wp:posOffset>
                </wp:positionV>
                <wp:extent cx="715228" cy="614363"/>
                <wp:effectExtent b="0" l="0" r="0" t="0"/>
                <wp:wrapNone/>
                <wp:docPr id="1" name="image3.png" descr="Marca da Pró-Reitoria de Pesquisa e Pós-Graduação da UEFS"/>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5228" cy="614363"/>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12"/>
          <w:szCs w:val="1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rPr>
      </w:pPr>
      <w:r w:rsidDel="00000000" w:rsidR="00000000" w:rsidRPr="00000000">
        <w:rPr>
          <w:rFonts w:ascii="Arial" w:cs="Arial" w:eastAsia="Arial" w:hAnsi="Arial"/>
          <w:b w:val="1"/>
          <w:color w:val="000000"/>
          <w:rtl w:val="0"/>
        </w:rPr>
        <w:t xml:space="preserve">XXIX SEMINÁRIO DE INICIAÇÃO CIENTÍFICA DA UEFS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SEMANA NACIONAL DE CIÊNCIA E TECNOLOGIA - 2025</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006">
      <w:pPr>
        <w:keepNext w:val="0"/>
        <w:pBdr>
          <w:top w:space="0" w:sz="0" w:val="nil"/>
          <w:left w:space="0" w:sz="0" w:val="nil"/>
          <w:bottom w:space="0" w:sz="0" w:val="nil"/>
          <w:right w:space="0" w:sz="0" w:val="nil"/>
          <w:between w:space="0" w:sz="0" w:val="nil"/>
        </w:pBdr>
        <w:spacing w:line="276" w:lineRule="auto" w:before="0" w:after="0"/>
        <w:ind w:firstLine="0"/>
        <w:jc w:val="center"/>
        <w:rPr>
          <w:color w:val="000000"/>
        </w:rPr>
      </w:pPr>
      <w:r>
        <w:rPr>
          <w:rFonts w:ascii="Times New Roman" w:hAnsi="Times New Roman"/>
          <w:b/>
          <w:sz w:val="24"/>
        </w:rPr>
        <w:t>Modelagem do Potencial Mineral para Fosfato na Bacia de Irecê usando Machine Learning</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jc w:val="center"/>
        <w:rPr>
          <w:b w:val="1"/>
          <w:color w:val="000000"/>
        </w:rPr>
      </w:pPr>
      <w:r w:rsidDel="00000000" w:rsidR="00000000" w:rsidRPr="00000000">
        <w:rPr>
          <w:rtl w:val="0"/>
        </w:rPr>
      </w:r>
    </w:p>
    <w:p w:rsidR="00000000" w:rsidDel="00000000" w:rsidP="00000000" w:rsidRDefault="00000000" w:rsidRPr="00000000" w14:paraId="00000008">
      <w:pPr>
        <w:keepNext w:val="0"/>
        <w:pBdr>
          <w:top w:space="0" w:sz="0" w:val="nil"/>
          <w:left w:space="0" w:sz="0" w:val="nil"/>
          <w:bottom w:space="0" w:sz="0" w:val="nil"/>
          <w:right w:space="0" w:sz="0" w:val="nil"/>
          <w:between w:space="0" w:sz="0" w:val="nil"/>
        </w:pBdr>
        <w:spacing w:line="276" w:lineRule="auto" w:before="0" w:after="0"/>
        <w:ind w:firstLine="0"/>
        <w:jc w:val="center"/>
        <w:rPr>
          <w:color w:val="000000"/>
          <w:vertAlign w:val="superscript"/>
        </w:rPr>
      </w:pPr>
      <w:r>
        <w:rPr>
          <w:rFonts w:ascii="Times New Roman" w:hAnsi="Times New Roman"/>
          <w:b/>
          <w:sz w:val="24"/>
          <w:u w:val="single"/>
        </w:rPr>
        <w:t>Adriele Ramos Santana¹</w:t>
      </w:r>
      <w:r>
        <w:rPr>
          <w:rFonts w:ascii="Times New Roman" w:hAnsi="Times New Roman"/>
          <w:b/>
          <w:sz w:val="24"/>
        </w:rPr>
        <w:t>; Washington de Jesus Sant'Anna da Franca Rocha²</w:t>
      </w:r>
    </w:p>
    <w:p w:rsidR="00000000" w:rsidDel="00000000" w:rsidP="00000000" w:rsidRDefault="00000000" w:rsidRPr="00000000" w14:paraId="00000009">
      <w:pPr>
        <w:keepNext w:val="0"/>
        <w:pBdr>
          <w:top w:space="0" w:sz="0" w:val="nil"/>
          <w:left w:space="0" w:sz="0" w:val="nil"/>
          <w:bottom w:space="0" w:sz="0" w:val="nil"/>
          <w:right w:space="0" w:sz="0" w:val="nil"/>
          <w:between w:space="0" w:sz="0" w:val="nil"/>
        </w:pBdr>
        <w:spacing w:line="276" w:lineRule="auto" w:before="0" w:after="0"/>
        <w:ind w:left="-850.3937007874016" w:right="-409.1338582677156" w:firstLine="0"/>
        <w:jc w:val="center"/>
        <w:rPr>
          <w:sz w:val="18"/>
          <w:szCs w:val="18"/>
        </w:rPr>
      </w:pPr>
      <w:r>
        <w:rPr>
          <w:rFonts w:ascii="Times New Roman" w:hAnsi="Times New Roman"/>
          <w:sz w:val="18"/>
        </w:rPr>
        <w:t>1. Adriele Ramos Santana, PIBITI/CNPq, Agronomia, e-mail: adrieleagronomia@gmail.com</w:t>
      </w:r>
    </w:p>
    <w:p w:rsidR="00000000" w:rsidDel="00000000" w:rsidP="00000000" w:rsidRDefault="00000000" w:rsidRPr="00000000" w14:paraId="0000000A">
      <w:pPr>
        <w:keepNext w:val="0"/>
        <w:pBdr>
          <w:top w:space="0" w:sz="0" w:val="nil"/>
          <w:left w:space="0" w:sz="0" w:val="nil"/>
          <w:bottom w:space="0" w:sz="0" w:val="nil"/>
          <w:right w:space="0" w:sz="0" w:val="nil"/>
          <w:between w:space="0" w:sz="0" w:val="nil"/>
        </w:pBdr>
        <w:spacing w:line="276" w:lineRule="auto" w:before="0" w:after="0"/>
        <w:ind w:left="-850.3937007874016" w:right="-409.1338582677156" w:firstLine="0"/>
        <w:jc w:val="center"/>
        <w:rPr>
          <w:color w:val="000000"/>
          <w:sz w:val="18"/>
          <w:szCs w:val="18"/>
        </w:rPr>
      </w:pPr>
      <w:r>
        <w:rPr>
          <w:rFonts w:ascii="Times New Roman" w:hAnsi="Times New Roman"/>
          <w:sz w:val="18"/>
        </w:rPr>
        <w:t>2. Washington de Jesus Sant'Anna da Franca Rocha, Departamento de Ciências Exatas, e-mail: wrocha@uefs.br</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p w:rsidR="00000000" w:rsidDel="00000000" w:rsidP="00000000" w:rsidRDefault="00000000" w:rsidRPr="00000000" w14:paraId="0000000C">
      <w:pPr>
        <w:keepNext w:val="0"/>
        <w:pBdr>
          <w:top w:space="0" w:sz="0" w:val="nil"/>
          <w:left w:space="0" w:sz="0" w:val="nil"/>
          <w:bottom w:space="0" w:sz="0" w:val="nil"/>
          <w:right w:space="0" w:sz="0" w:val="nil"/>
          <w:between w:space="0" w:sz="0" w:val="nil"/>
        </w:pBdr>
        <w:spacing w:line="276" w:lineRule="auto" w:before="0" w:after="0"/>
        <w:ind w:firstLine="0"/>
        <w:jc w:val="center"/>
        <w:rPr>
          <w:color w:val="000000"/>
        </w:rPr>
      </w:pPr>
      <w:r>
        <w:rPr>
          <w:rFonts w:ascii="Times New Roman" w:hAnsi="Times New Roman"/>
          <w:b/>
          <w:sz w:val="24"/>
        </w:rPr>
        <w:t xml:space="preserve">PALAVRAS-CHAVE: </w:t>
      </w:r>
      <w:r>
        <w:rPr>
          <w:rFonts w:ascii="Times New Roman" w:hAnsi="Times New Roman"/>
          <w:sz w:val="24"/>
        </w:rPr>
        <w:t>fosfato; sensoriamento remoto; Bacia de Irecê; aprendizado de máquina; Google Earth Engine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pPr>
        <w:keepNext/>
        <w:spacing w:line="276" w:lineRule="auto" w:before="100" w:after="0"/>
        <w:ind w:firstLine="0"/>
        <w:jc w:val="left"/>
      </w:pPr>
      <w:r>
        <w:rPr>
          <w:rFonts w:ascii="Times New Roman" w:hAnsi="Times New Roman"/>
          <w:b/>
          <w:sz w:val="24"/>
        </w:rPr>
        <w:t>INTRODUÇÃO</w:t>
      </w:r>
    </w:p>
    <w:p>
      <w:pPr>
        <w:keepNext w:val="0"/>
        <w:spacing w:line="276" w:lineRule="auto" w:before="0" w:after="0"/>
        <w:ind w:firstLine="709"/>
        <w:jc w:val="both"/>
      </w:pPr>
      <w:r>
        <w:rPr>
          <w:rFonts w:ascii="Times New Roman" w:hAnsi="Times New Roman"/>
          <w:sz w:val="24"/>
        </w:rPr>
        <w:t>O fosfato é uma matéria-prima estratégica para a produção de fertilizantes e, por consequência, para a segurança alimentar. Na Bahia, a Bacia de Irecê reúne sequências carbonáticas do Grupo Una e registros históricos de fosforito, incluindo o Prospecto Central Irecê-Lapão, descoberto durante levantamentos geológicos conduzidos na década de 1980. A extensão regional das unidades, a diversidade de controles geológicos e a distribuição irregular dos dados de campo tornam a avaliação de favorabilidade mineral um problema adequado à integração de sensoriamento remoto, sistemas de informação geográfica e métodos computacionais.</w:t>
      </w:r>
    </w:p>
    <w:p>
      <w:pPr>
        <w:keepNext w:val="0"/>
        <w:spacing w:line="276" w:lineRule="auto" w:before="0" w:after="0"/>
        <w:ind w:firstLine="709"/>
        <w:jc w:val="both"/>
      </w:pPr>
      <w:r>
        <w:rPr>
          <w:rFonts w:ascii="Times New Roman" w:hAnsi="Times New Roman"/>
          <w:sz w:val="24"/>
        </w:rPr>
        <w:t>Nesse contexto, o Prospecta 4.0 vem sendo estruturado como uma plataforma web e geoespacial para organizar dados minerais, processar séries de imagens orbitais e disponibilizar resultados em um ambiente interativo. A hipótese de trabalho é que variáveis espectrais, temporais, geológicas e espaciais possam, após padronização e associação a ocorrências conhecidas de fosfato, alimentar modelos supervisionados capazes de estimar a favorabilidade mineral. O objetivo deste relatório é registrar as atividades realizadas até o momento: extração e pré-processamento de imagens Landsat, produção de mosaicos multitemporais, organização da infraestrutura de dados e desenvolvimento das ferramentas de exploração e análise, além de delimitar as etapas ainda necessárias para o treinamento e a validação do modelo de Machine Learning.</w:t>
      </w:r>
    </w:p>
    <w:p>
      <w:pPr>
        <w:keepNext/>
        <w:spacing w:line="276" w:lineRule="auto" w:before="100" w:after="0"/>
        <w:ind w:firstLine="0"/>
        <w:jc w:val="left"/>
      </w:pPr>
      <w:r>
        <w:rPr>
          <w:rFonts w:ascii="Times New Roman" w:hAnsi="Times New Roman"/>
          <w:b/>
          <w:sz w:val="24"/>
        </w:rPr>
        <w:t>METODOLOGIA</w:t>
      </w:r>
    </w:p>
    <w:p>
      <w:pPr>
        <w:keepNext w:val="0"/>
        <w:spacing w:line="276" w:lineRule="auto" w:before="0" w:after="0"/>
        <w:ind w:firstLine="709"/>
        <w:jc w:val="both"/>
      </w:pPr>
      <w:r>
        <w:rPr>
          <w:rFonts w:ascii="Times New Roman" w:hAnsi="Times New Roman"/>
          <w:sz w:val="24"/>
        </w:rPr>
        <w:t>A infraestrutura foi organizada em três camadas: processamento geoespacial, persistência de dados e aplicação web. A área operacional inicial corresponde a um retângulo envolvendo o estado da Bahia (46,5° O a 37,0° O; 18,5° S a 8,5° S), enquanto a Bacia de Irecê é tratada no painel como recorte prioritário, com centro aproximado em 41,85° O e 11,30° S. Esse desenho permite produzir uma base estadual comum e, posteriormente, recortar as variáveis para a área efetiva de modelagem.</w:t>
      </w:r>
    </w:p>
    <w:p>
      <w:pPr>
        <w:keepNext w:val="0"/>
        <w:spacing w:line="276" w:lineRule="auto" w:before="0" w:after="0"/>
        <w:ind w:firstLine="709"/>
        <w:jc w:val="both"/>
      </w:pPr>
      <w:r>
        <w:rPr>
          <w:rFonts w:ascii="Times New Roman" w:hAnsi="Times New Roman"/>
          <w:sz w:val="24"/>
        </w:rPr>
        <w:t>A extração orbital foi implementada no Google Earth Engine (GEE) com imagens Landsat Collection 2 Level-2. Foram utilizadas as coleções Landsat 5 TM para 2000-2011, Landsat 7 ETM+ para 2012, Landsat 8 OLI a partir de 2013 e a combinação Landsat 8/9 nos períodos recentes. Os pixels afetados por nuvem, sombra de nuvem e dilatação/cirrus são removidos a partir dos bits 3, 4 e 1 da banda QA_PIXEL. Em seguida, aplica-se o fator de escala 0,0000275 e o deslocamento -0,2 à reflectância de superfície, conforme a especificação da Collection 2. O índice de vegetação por diferença normalizada (NDVI) é calculado com as bandas vermelha e infravermelha próxima e utilizado no método qualityMosaic, que seleciona, para cada pixel, a observação de maior NDVI entre as cenas disponíveis.</w:t>
      </w:r>
    </w:p>
    <w:p>
      <w:pPr>
        <w:keepNext w:val="0"/>
        <w:spacing w:line="276" w:lineRule="auto" w:before="0" w:after="0"/>
        <w:ind w:firstLine="709"/>
        <w:jc w:val="both"/>
      </w:pPr>
      <w:r>
        <w:rPr>
          <w:rFonts w:ascii="Times New Roman" w:hAnsi="Times New Roman"/>
          <w:sz w:val="24"/>
        </w:rPr>
        <w:t>Foram preparados mosaicos semestrais, com resolução espacial de 30 m, sistema de referência EPSG:4326 e saída GeoTIFF otimizada para nuvem (COG). O script histórico cobre um mosaico combinado de 2000-2008 e períodos semestrais entre 2009 e 2020, exceto 2012_1, marcado como indisponível por insuficiência de dados. A pipeline automatizada também identifica o último semestre completo, consulta se o produto já está pronto, calcula número de cenas e cobertura média de nuvens, exporta o COG para o Google Cloud Storage e registra metadados no Supabase/PostgreSQL com extensão PostGIS. O processamento é executável como Cloud Run Job, com controle de estado, tempo limite, mensagens de erro e modo incremental para evitar reprocessamento.</w:t>
      </w:r>
    </w:p>
    <w:p>
      <w:pPr>
        <w:keepNext w:val="0"/>
        <w:spacing w:line="276" w:lineRule="auto" w:before="0" w:after="0"/>
        <w:ind w:firstLine="709"/>
        <w:jc w:val="both"/>
      </w:pPr>
      <w:r>
        <w:rPr>
          <w:rFonts w:ascii="Times New Roman" w:hAnsi="Times New Roman"/>
          <w:sz w:val="24"/>
        </w:rPr>
        <w:t>Na aplicação, os dados são disponibilizados por API e visualizados com MapLibre GL JS. O GeoLab permite selecionar região, categoria mineral, sensor, período, composição e mapa-base; controlar a opacidade; consultar ocorrências; importar até 500 pontos em CSV ou GeoJSON; filtrar valores por limiar; compartilhar a vista e exportar as feições visíveis. A arquitetura aceita tiles derivados dos COGs por meio de TiTiler e registra contribuições externas com separação entre dados institucionais e comunitários.</w:t>
      </w:r>
    </w:p>
    <w:p>
      <w:pPr>
        <w:keepNext/>
        <w:spacing w:line="276" w:lineRule="auto" w:before="100" w:after="0"/>
        <w:ind w:firstLine="0"/>
        <w:jc w:val="left"/>
      </w:pPr>
      <w:r>
        <w:rPr>
          <w:rFonts w:ascii="Times New Roman" w:hAnsi="Times New Roman"/>
          <w:b/>
          <w:sz w:val="24"/>
        </w:rPr>
        <w:t>RESULTADOS E/OU DISCUSSÃO</w:t>
      </w:r>
    </w:p>
    <w:p>
      <w:pPr>
        <w:keepNext w:val="0"/>
        <w:spacing w:line="276" w:lineRule="auto" w:before="0" w:after="0"/>
        <w:ind w:firstLine="709"/>
        <w:jc w:val="both"/>
      </w:pPr>
      <w:r>
        <w:rPr>
          <w:rFonts w:ascii="Times New Roman" w:hAnsi="Times New Roman"/>
          <w:sz w:val="24"/>
        </w:rPr>
        <w:t>O principal resultado alcançado foi a consolidação de uma cadeia reproduzível entre o catálogo orbital e o ambiente de exploração. O pré-processamento uniformiza sensores de diferentes gerações, reduz a interferência de nuvens e produz mosaicos comparáveis em uma grade de 30 m. A série demonstrativa cadastrada no sistema contém 24 períodos, incluindo o agregado 2000-2008 e os semestres de 2009 a 2020 disponíveis. Cada período possui campos de qualidade, cobertura de nuvens, número de cenas, endereço do COG ou dos tiles e situação de processamento, permitindo rastrear a proveniência do produto.</w:t>
      </w:r>
    </w:p>
    <w:p>
      <w:pPr>
        <w:keepNext/>
        <w:spacing w:line="276" w:lineRule="auto" w:before="80" w:after="60"/>
        <w:ind w:firstLine="0"/>
        <w:jc w:val="center"/>
      </w:pPr>
      <w:r>
        <w:rPr>
          <w:rFonts w:ascii="Times New Roman" w:hAnsi="Times New Roman"/>
          <w:sz w:val="20"/>
        </w:rPr>
        <w:t>Tabela 1. Síntese das etapas implementadas e do estágio atual.</w:t>
      </w:r>
    </w:p>
    <w:tbl>
      <w:tblPr>
        <w:tblW w:type="auto" w:w="0"/>
        <w:jc w:val="center"/>
        <w:tblLayout w:type="fixed"/>
        <w:tblLook w:firstColumn="1" w:firstRow="1" w:lastColumn="0" w:lastRow="0" w:noHBand="0" w:noVBand="1" w:val="04A0"/>
      </w:tblPr>
      <w:tblGrid>
        <w:gridCol w:w="2835"/>
        <w:gridCol w:w="2835"/>
        <w:gridCol w:w="2835"/>
      </w:tblGrid>
      <w:tr>
        <w:trPr>
          <w:tblHeader w:val="true"/>
        </w:trPr>
        <w:tc>
          <w:tcPr>
            <w:tcW w:type="dxa" w:w="2041"/>
            <w:vAlign w:val="center"/>
            <w:shd w:fill="D9EAD3"/>
            <w:tcMar>
              <w:top w:w="80" w:type="dxa"/>
              <w:start w:w="100" w:type="dxa"/>
              <w:bottom w:w="80" w:type="dxa"/>
              <w:end w:w="100" w:type="dxa"/>
            </w:tcMar>
          </w:tcPr>
          <w:p>
            <w:pPr>
              <w:spacing w:after="0"/>
              <w:jc w:val="center"/>
            </w:pPr>
            <w:r>
              <w:rPr>
                <w:rFonts w:ascii="Times New Roman" w:hAnsi="Times New Roman"/>
                <w:b/>
                <w:sz w:val="18"/>
              </w:rPr>
              <w:t>Etapa</w:t>
            </w:r>
          </w:p>
        </w:tc>
        <w:tc>
          <w:tcPr>
            <w:tcW w:type="dxa" w:w="4195"/>
            <w:vAlign w:val="center"/>
            <w:shd w:fill="D9EAD3"/>
            <w:tcMar>
              <w:top w:w="80" w:type="dxa"/>
              <w:start w:w="100" w:type="dxa"/>
              <w:bottom w:w="80" w:type="dxa"/>
              <w:end w:w="100" w:type="dxa"/>
            </w:tcMar>
          </w:tcPr>
          <w:p>
            <w:pPr>
              <w:spacing w:after="0"/>
              <w:jc w:val="center"/>
            </w:pPr>
            <w:r>
              <w:rPr>
                <w:rFonts w:ascii="Times New Roman" w:hAnsi="Times New Roman"/>
                <w:b/>
                <w:sz w:val="18"/>
              </w:rPr>
              <w:t>Produto/funcionalidade</w:t>
            </w:r>
          </w:p>
        </w:tc>
        <w:tc>
          <w:tcPr>
            <w:tcW w:type="dxa" w:w="1814"/>
            <w:vAlign w:val="center"/>
            <w:shd w:fill="D9EAD3"/>
            <w:tcMar>
              <w:top w:w="80" w:type="dxa"/>
              <w:start w:w="100" w:type="dxa"/>
              <w:bottom w:w="80" w:type="dxa"/>
              <w:end w:w="100" w:type="dxa"/>
            </w:tcMar>
          </w:tcPr>
          <w:p>
            <w:pPr>
              <w:spacing w:after="0"/>
              <w:jc w:val="center"/>
            </w:pPr>
            <w:r>
              <w:rPr>
                <w:rFonts w:ascii="Times New Roman" w:hAnsi="Times New Roman"/>
                <w:b/>
                <w:sz w:val="18"/>
              </w:rPr>
              <w:t>Situação</w:t>
            </w:r>
          </w:p>
        </w:tc>
      </w:tr>
      <w:tr>
        <w:tc>
          <w:tcPr>
            <w:tcW w:type="dxa" w:w="2041"/>
            <w:vAlign w:val="center"/>
            <w:tcMar>
              <w:top w:w="80" w:type="dxa"/>
              <w:start w:w="100" w:type="dxa"/>
              <w:bottom w:w="80" w:type="dxa"/>
              <w:end w:w="100" w:type="dxa"/>
            </w:tcMar>
          </w:tcPr>
          <w:p>
            <w:pPr>
              <w:spacing w:after="0"/>
              <w:jc w:val="center"/>
            </w:pPr>
            <w:r>
              <w:rPr>
                <w:rFonts w:ascii="Times New Roman" w:hAnsi="Times New Roman"/>
                <w:sz w:val="18"/>
              </w:rPr>
              <w:t>Extração</w:t>
            </w:r>
          </w:p>
        </w:tc>
        <w:tc>
          <w:tcPr>
            <w:tcW w:type="dxa" w:w="4195"/>
            <w:vAlign w:val="center"/>
            <w:tcMar>
              <w:top w:w="80" w:type="dxa"/>
              <w:start w:w="100" w:type="dxa"/>
              <w:bottom w:w="80" w:type="dxa"/>
              <w:end w:w="100" w:type="dxa"/>
            </w:tcMar>
          </w:tcPr>
          <w:p>
            <w:pPr>
              <w:spacing w:after="0"/>
              <w:jc w:val="left"/>
            </w:pPr>
            <w:r>
              <w:rPr>
                <w:rFonts w:ascii="Times New Roman" w:hAnsi="Times New Roman"/>
                <w:sz w:val="18"/>
              </w:rPr>
              <w:t>Mosaicos Landsat semestrais e exportação GeoTIFF otimizada para nuvem.</w:t>
            </w:r>
          </w:p>
        </w:tc>
        <w:tc>
          <w:tcPr>
            <w:tcW w:type="dxa" w:w="1814"/>
            <w:vAlign w:val="center"/>
            <w:tcMar>
              <w:top w:w="80" w:type="dxa"/>
              <w:start w:w="100" w:type="dxa"/>
              <w:bottom w:w="80" w:type="dxa"/>
              <w:end w:w="100" w:type="dxa"/>
            </w:tcMar>
          </w:tcPr>
          <w:p>
            <w:pPr>
              <w:spacing w:after="0"/>
              <w:jc w:val="center"/>
            </w:pPr>
            <w:r>
              <w:rPr>
                <w:rFonts w:ascii="Times New Roman" w:hAnsi="Times New Roman"/>
                <w:sz w:val="18"/>
              </w:rPr>
              <w:t>Implementada</w:t>
            </w:r>
          </w:p>
        </w:tc>
      </w:tr>
      <w:tr>
        <w:tc>
          <w:tcPr>
            <w:tcW w:type="dxa" w:w="2041"/>
            <w:vAlign w:val="center"/>
            <w:tcMar>
              <w:top w:w="80" w:type="dxa"/>
              <w:start w:w="100" w:type="dxa"/>
              <w:bottom w:w="80" w:type="dxa"/>
              <w:end w:w="100" w:type="dxa"/>
            </w:tcMar>
          </w:tcPr>
          <w:p>
            <w:pPr>
              <w:spacing w:after="0"/>
              <w:jc w:val="center"/>
            </w:pPr>
            <w:r>
              <w:rPr>
                <w:rFonts w:ascii="Times New Roman" w:hAnsi="Times New Roman"/>
                <w:sz w:val="18"/>
              </w:rPr>
              <w:t>Pré-processamento</w:t>
            </w:r>
          </w:p>
        </w:tc>
        <w:tc>
          <w:tcPr>
            <w:tcW w:type="dxa" w:w="4195"/>
            <w:vAlign w:val="center"/>
            <w:tcMar>
              <w:top w:w="80" w:type="dxa"/>
              <w:start w:w="100" w:type="dxa"/>
              <w:bottom w:w="80" w:type="dxa"/>
              <w:end w:w="100" w:type="dxa"/>
            </w:tcMar>
          </w:tcPr>
          <w:p>
            <w:pPr>
              <w:spacing w:after="0"/>
              <w:jc w:val="left"/>
            </w:pPr>
            <w:r>
              <w:rPr>
                <w:rFonts w:ascii="Times New Roman" w:hAnsi="Times New Roman"/>
                <w:sz w:val="18"/>
              </w:rPr>
              <w:t>Máscara QA_PIXEL, reflectância de superfície, NDVI e qualityMosaic.</w:t>
            </w:r>
          </w:p>
        </w:tc>
        <w:tc>
          <w:tcPr>
            <w:tcW w:type="dxa" w:w="1814"/>
            <w:vAlign w:val="center"/>
            <w:tcMar>
              <w:top w:w="80" w:type="dxa"/>
              <w:start w:w="100" w:type="dxa"/>
              <w:bottom w:w="80" w:type="dxa"/>
              <w:end w:w="100" w:type="dxa"/>
            </w:tcMar>
          </w:tcPr>
          <w:p>
            <w:pPr>
              <w:spacing w:after="0"/>
              <w:jc w:val="center"/>
            </w:pPr>
            <w:r>
              <w:rPr>
                <w:rFonts w:ascii="Times New Roman" w:hAnsi="Times New Roman"/>
                <w:sz w:val="18"/>
              </w:rPr>
              <w:t>Implementado</w:t>
            </w:r>
          </w:p>
        </w:tc>
      </w:tr>
      <w:tr>
        <w:tc>
          <w:tcPr>
            <w:tcW w:type="dxa" w:w="2041"/>
            <w:vAlign w:val="center"/>
            <w:tcMar>
              <w:top w:w="80" w:type="dxa"/>
              <w:start w:w="100" w:type="dxa"/>
              <w:bottom w:w="80" w:type="dxa"/>
              <w:end w:w="100" w:type="dxa"/>
            </w:tcMar>
          </w:tcPr>
          <w:p>
            <w:pPr>
              <w:spacing w:after="0"/>
              <w:jc w:val="center"/>
            </w:pPr>
            <w:r>
              <w:rPr>
                <w:rFonts w:ascii="Times New Roman" w:hAnsi="Times New Roman"/>
                <w:sz w:val="18"/>
              </w:rPr>
              <w:t>Integração</w:t>
            </w:r>
          </w:p>
        </w:tc>
        <w:tc>
          <w:tcPr>
            <w:tcW w:type="dxa" w:w="4195"/>
            <w:vAlign w:val="center"/>
            <w:tcMar>
              <w:top w:w="80" w:type="dxa"/>
              <w:start w:w="100" w:type="dxa"/>
              <w:bottom w:w="80" w:type="dxa"/>
              <w:end w:w="100" w:type="dxa"/>
            </w:tcMar>
          </w:tcPr>
          <w:p>
            <w:pPr>
              <w:spacing w:after="0"/>
              <w:jc w:val="left"/>
            </w:pPr>
            <w:r>
              <w:rPr>
                <w:rFonts w:ascii="Times New Roman" w:hAnsi="Times New Roman"/>
                <w:sz w:val="18"/>
              </w:rPr>
              <w:t>GCS/COG, metadados no PostGIS, API e visualização no GeoLab.</w:t>
            </w:r>
          </w:p>
        </w:tc>
        <w:tc>
          <w:tcPr>
            <w:tcW w:type="dxa" w:w="1814"/>
            <w:vAlign w:val="center"/>
            <w:tcMar>
              <w:top w:w="80" w:type="dxa"/>
              <w:start w:w="100" w:type="dxa"/>
              <w:bottom w:w="80" w:type="dxa"/>
              <w:end w:w="100" w:type="dxa"/>
            </w:tcMar>
          </w:tcPr>
          <w:p>
            <w:pPr>
              <w:spacing w:after="0"/>
              <w:jc w:val="center"/>
            </w:pPr>
            <w:r>
              <w:rPr>
                <w:rFonts w:ascii="Times New Roman" w:hAnsi="Times New Roman"/>
                <w:sz w:val="18"/>
              </w:rPr>
              <w:t>Implementada</w:t>
            </w:r>
          </w:p>
        </w:tc>
      </w:tr>
      <w:tr>
        <w:tc>
          <w:tcPr>
            <w:tcW w:type="dxa" w:w="2041"/>
            <w:vAlign w:val="center"/>
            <w:tcMar>
              <w:top w:w="80" w:type="dxa"/>
              <w:start w:w="100" w:type="dxa"/>
              <w:bottom w:w="80" w:type="dxa"/>
              <w:end w:w="100" w:type="dxa"/>
            </w:tcMar>
          </w:tcPr>
          <w:p>
            <w:pPr>
              <w:spacing w:after="0"/>
              <w:jc w:val="center"/>
            </w:pPr>
            <w:r>
              <w:rPr>
                <w:rFonts w:ascii="Times New Roman" w:hAnsi="Times New Roman"/>
                <w:sz w:val="18"/>
              </w:rPr>
              <w:t>Machine Learning</w:t>
            </w:r>
          </w:p>
        </w:tc>
        <w:tc>
          <w:tcPr>
            <w:tcW w:type="dxa" w:w="4195"/>
            <w:vAlign w:val="center"/>
            <w:tcMar>
              <w:top w:w="80" w:type="dxa"/>
              <w:start w:w="100" w:type="dxa"/>
              <w:bottom w:w="80" w:type="dxa"/>
              <w:end w:w="100" w:type="dxa"/>
            </w:tcMar>
          </w:tcPr>
          <w:p>
            <w:pPr>
              <w:spacing w:after="0"/>
              <w:jc w:val="left"/>
            </w:pPr>
            <w:r>
              <w:rPr>
                <w:rFonts w:ascii="Times New Roman" w:hAnsi="Times New Roman"/>
                <w:sz w:val="18"/>
              </w:rPr>
              <w:t>Treinamento, validação e mapa probabilístico específico para fosfato.</w:t>
            </w:r>
          </w:p>
        </w:tc>
        <w:tc>
          <w:tcPr>
            <w:tcW w:type="dxa" w:w="1814"/>
            <w:vAlign w:val="center"/>
            <w:tcMar>
              <w:top w:w="80" w:type="dxa"/>
              <w:start w:w="100" w:type="dxa"/>
              <w:bottom w:w="80" w:type="dxa"/>
              <w:end w:w="100" w:type="dxa"/>
            </w:tcMar>
          </w:tcPr>
          <w:p>
            <w:pPr>
              <w:spacing w:after="0"/>
              <w:jc w:val="center"/>
            </w:pPr>
            <w:r>
              <w:rPr>
                <w:rFonts w:ascii="Times New Roman" w:hAnsi="Times New Roman"/>
                <w:sz w:val="18"/>
              </w:rPr>
              <w:t>Próxima etapa</w:t>
            </w:r>
          </w:p>
        </w:tc>
      </w:tr>
    </w:tbl>
    <w:p>
      <w:pPr>
        <w:keepNext w:val="0"/>
        <w:spacing w:line="276" w:lineRule="auto" w:before="0" w:after="0"/>
        <w:ind w:firstLine="0"/>
        <w:jc w:val="left"/>
      </w:pPr>
      <w:r>
        <w:rPr>
          <w:rFonts w:ascii="Times New Roman" w:hAnsi="Times New Roman"/>
          <w:sz w:val="18"/>
        </w:rPr>
        <w:t>Fonte: elaboração própria a partir do repositório Prospecta 4.0 (2026).</w:t>
      </w:r>
    </w:p>
    <w:p>
      <w:pPr>
        <w:keepNext w:val="0"/>
        <w:spacing w:line="276" w:lineRule="auto" w:before="0" w:after="0"/>
        <w:ind w:firstLine="709"/>
        <w:jc w:val="both"/>
      </w:pPr>
      <w:r>
        <w:rPr>
          <w:rFonts w:ascii="Times New Roman" w:hAnsi="Times New Roman"/>
          <w:sz w:val="24"/>
        </w:rPr>
        <w:t>Para o tema fosfato, a Bacia de Irecê já aparece como alvo estratégico em estudo e pode ser isolada no painel. A plataforma também oferece mecanismos úteis à etapa de preparação das amostras, como importação de pontos, sobreposição com ocorrências e exportação em GeoJSON. A superfície analítica atualmente exibida no mapa, entretanto, é uma grade exploratória sintética gerada no navegador a partir de um limiar; ela serve para testar interação, simbologia e fluxo de trabalho, mas não representa uma probabilidade geológica calculada por modelo treinado. Da mesma forma, os valores de qualidade do conjunto de demonstração não devem ser interpretados como métricas de acurácia mineral.</w:t>
      </w:r>
    </w:p>
    <w:p>
      <w:pPr>
        <w:keepNext w:val="0"/>
        <w:spacing w:line="276" w:lineRule="auto" w:before="0" w:after="0"/>
        <w:ind w:firstLine="709"/>
        <w:jc w:val="both"/>
      </w:pPr>
      <w:r>
        <w:rPr>
          <w:rFonts w:ascii="Times New Roman" w:hAnsi="Times New Roman"/>
          <w:sz w:val="24"/>
        </w:rPr>
        <w:t>A etapa de Machine Learning permanece em desenvolvimento. Para convertê-la em modelagem científica será necessário reunir rótulos positivos confiáveis (ocorrências, amostras e teores de P2O5), definir amostras de ausência ou background, recortar e harmonizar os preditores e controlar o desbalanceamento de classes. Além das bandas e razões espectrais, o conjunto de variáveis deverá incorporar litologia, estruturas, distância a contatos, relevo e dados geoquímicos quando disponíveis. Recomenda-se comparar algoritmos interpretáveis, como regressão logística e Random Forest, com métodos de gradient boosting, usando validação espacial em blocos para reduzir a autocorrelação entre treino e teste. O desempenho deve ser avaliado por precisão, revocação, F1, área sob a curva ROC e área sob a curva precisão-revocação, acompanhado de análise de importância das variáveis e verificação geológica dos alvos.</w:t>
      </w:r>
    </w:p>
    <w:p>
      <w:pPr>
        <w:keepNext w:val="0"/>
        <w:spacing w:line="276" w:lineRule="auto" w:before="0" w:after="0"/>
        <w:ind w:firstLine="709"/>
        <w:jc w:val="both"/>
      </w:pPr>
      <w:r>
        <w:rPr>
          <w:rFonts w:ascii="Times New Roman" w:hAnsi="Times New Roman"/>
          <w:sz w:val="24"/>
        </w:rPr>
        <w:t>Assim, o estágio atual não corresponde ainda a um mapa final de potencial mineral, mas a uma base tecnológica preparada para recebê-lo. Essa distinção é importante: a automação existente resolve tarefas de aquisição, armazenamento, visualização e rastreabilidade, enquanto a validade preditiva dependerá da qualidade dos dados de treinamento, do desenho da validação e da interpretação geológica. O avanço mais imediato é substituir a superfície sintética por uma camada derivada de dados reais e versionada junto aos metadados do experimento.</w:t>
      </w:r>
    </w:p>
    <w:p>
      <w:pPr>
        <w:keepNext/>
        <w:spacing w:line="276" w:lineRule="auto" w:before="100" w:after="0"/>
        <w:ind w:firstLine="0"/>
        <w:jc w:val="left"/>
      </w:pPr>
      <w:r>
        <w:rPr>
          <w:rFonts w:ascii="Times New Roman" w:hAnsi="Times New Roman"/>
          <w:b/>
          <w:sz w:val="24"/>
        </w:rPr>
        <w:t>CONSIDERAÇÕES FINAIS</w:t>
      </w:r>
    </w:p>
    <w:p>
      <w:pPr>
        <w:keepNext w:val="0"/>
        <w:spacing w:line="276" w:lineRule="auto" w:before="0" w:after="0"/>
        <w:ind w:firstLine="709"/>
        <w:jc w:val="both"/>
      </w:pPr>
      <w:r>
        <w:rPr>
          <w:rFonts w:ascii="Times New Roman" w:hAnsi="Times New Roman"/>
          <w:sz w:val="24"/>
        </w:rPr>
        <w:t>As atividades realizadas no Prospecta 4.0 estabeleceram os componentes essenciais para a modelagem do potencial de fosfato na Bacia de Irecê: extração multitemporal Landsat, máscara de qualidade, cálculo de NDVI, composição por qualityMosaic, exportação COG, armazenamento de metadados espaciais e visualização interativa. O sistema já permite organizar períodos, ocorrências e contribuições, além de apoiar a inspeção e o intercâmbio de dados. O próximo ciclo deverá concentrar-se na construção do banco de amostras geológicas, na engenharia de atributos, no treinamento comparativo de modelos e na validação espacial. Somente após essas etapas será possível apresentar um mapa probabilístico de favorabilidade mineral com métricas de desempenho e incerteza adequadamente documentadas.</w:t>
      </w:r>
    </w:p>
    <w:p>
      <w:pPr>
        <w:keepNext/>
        <w:spacing w:line="276" w:lineRule="auto" w:before="100" w:after="0"/>
        <w:ind w:firstLine="0"/>
        <w:jc w:val="left"/>
      </w:pPr>
      <w:r>
        <w:rPr>
          <w:rFonts w:ascii="Times New Roman" w:hAnsi="Times New Roman"/>
          <w:b/>
          <w:sz w:val="24"/>
        </w:rPr>
        <w:t>REFERÊNCIAS</w:t>
      </w:r>
    </w:p>
    <w:p>
      <w:pPr>
        <w:keepNext w:val="0"/>
        <w:spacing w:line="276" w:lineRule="auto" w:before="0" w:after="80"/>
        <w:ind w:firstLine="0"/>
        <w:jc w:val="both"/>
      </w:pPr>
      <w:r>
        <w:rPr>
          <w:rFonts w:ascii="Times New Roman" w:hAnsi="Times New Roman"/>
          <w:sz w:val="20"/>
        </w:rPr>
        <w:t>BONFIM, L. F. C. et al. 1985. Projeto Bacia de Irecê: relatório final. Salvador: CPRM/SGM.</w:t>
      </w:r>
    </w:p>
    <w:p>
      <w:pPr>
        <w:keepNext w:val="0"/>
        <w:spacing w:line="276" w:lineRule="auto" w:before="0" w:after="80"/>
        <w:ind w:firstLine="0"/>
        <w:jc w:val="both"/>
      </w:pPr>
      <w:r>
        <w:rPr>
          <w:rFonts w:ascii="Times New Roman" w:hAnsi="Times New Roman"/>
          <w:sz w:val="20"/>
        </w:rPr>
        <w:t>BREIMAN, L. 2001. Random forests. Machine Learning, v. 45, p. 5-32.</w:t>
      </w:r>
    </w:p>
    <w:p>
      <w:pPr>
        <w:keepNext w:val="0"/>
        <w:spacing w:line="276" w:lineRule="auto" w:before="0" w:after="80"/>
        <w:ind w:firstLine="0"/>
        <w:jc w:val="both"/>
      </w:pPr>
      <w:r>
        <w:rPr>
          <w:rFonts w:ascii="Times New Roman" w:hAnsi="Times New Roman"/>
          <w:sz w:val="20"/>
        </w:rPr>
        <w:t>GORELICK, N. et al. 2017. Google Earth Engine: planetary-scale geospatial analysis for everyone. Remote Sensing of Environment, v. 202, p. 18-27.</w:t>
      </w:r>
    </w:p>
    <w:p>
      <w:pPr>
        <w:keepNext w:val="0"/>
        <w:spacing w:line="276" w:lineRule="auto" w:before="0" w:after="80"/>
        <w:ind w:firstLine="0"/>
        <w:jc w:val="both"/>
      </w:pPr>
      <w:r>
        <w:rPr>
          <w:rFonts w:ascii="Times New Roman" w:hAnsi="Times New Roman"/>
          <w:sz w:val="20"/>
        </w:rPr>
        <w:t>SERVIÇO GEOLÓGICO DO BRASIL (SGB/CPRM). Prospecto Central Irecê-Lapão: relatório 02 - fosfato em Irecê. Brasília: SGB/CPRM.</w:t>
      </w:r>
    </w:p>
    <w:p>
      <w:pPr>
        <w:keepNext w:val="0"/>
        <w:spacing w:line="276" w:lineRule="auto" w:before="0" w:after="80"/>
        <w:ind w:firstLine="0"/>
        <w:jc w:val="both"/>
      </w:pPr>
      <w:r>
        <w:rPr>
          <w:rFonts w:ascii="Times New Roman" w:hAnsi="Times New Roman"/>
          <w:sz w:val="20"/>
        </w:rPr>
        <w:t>UNITED STATES GEOLOGICAL SURVEY (USGS). Landsat Collection 2 Level-2 Science Products. Reston: USGS.</w:t>
      </w:r>
    </w:p>
    <w:sectPr>
      <w:pgSz w:h="16838" w:w="11906" w:orient="portrait"/>
      <w:pgMar w:bottom="1078"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Modelagem do Potencial Mineral para Fosfato na Bacia de Irecê usando Machine Learning</dc:title>
  <cp:lastModifiedBy>python-docx</cp:lastModifiedBy>
  <cp:revision>1</cp:revision>
  <dcterms:modified xsi:type="dcterms:W3CDTF">2026-07-16T20:04:24Z</dcterms:modified>
  <dc:subject>Relatório de atividades do Prospecta 4.0</dc:subject>
</cp:coreProperties>
</file>