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color="0F2C59"/>
          <w:left w:val="single" w:sz="0" w:color="0F2C59"/>
          <w:bottom w:val="single" w:sz="0" w:color="0F2C59"/>
          <w:right w:val="single" w:sz="0" w:color="0F2C59"/>
          <w:insideH w:val="single" w:sz="0" w:color="0F2C59"/>
          <w:insideV w:val="single" w:sz="0" w:color="0F2C59"/>
        </w:tblBorders>
      </w:tblPr>
      <w:tblGrid>
        <w:gridCol w:w="9866"/>
      </w:tblGrid>
      <w:tr>
        <w:tc>
          <w:tcPr>
            <w:tcW w:type="dxa" w:w="9866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9BC9E0"/>
                <w:sz w:val="22"/>
              </w:rPr>
              <w:br/>
              <w:t>POSICIONAMENTO ESTRATÉGICO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36"/>
              </w:rPr>
              <w:t>Ofensores de Lentidão na Linha de Produção</w:t>
            </w:r>
          </w:p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D6E3F0"/>
                <w:sz w:val="22"/>
              </w:rPr>
              <w:t>Alinhamento TI  ·  Área Técnica  ·  Engenharia</w:t>
              <w:br/>
            </w:r>
          </w:p>
        </w:tc>
      </w:tr>
      <w:tr>
        <w:tc>
          <w:tcPr>
            <w:tcW w:type="dxa" w:w="9866"/>
            <w:shd w:fill="1B6B93" w:val="clear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 xml:space="preserve">  Causa raiz antes de culpado  ·  Evidência antes de apontamento  ·  Dono e prazo claros</w:t>
            </w:r>
          </w:p>
        </w:tc>
      </w:tr>
      <w:tr>
        <w:tc>
          <w:tcPr>
            <w:tcW w:type="dxa" w:w="9866"/>
            <w:shd w:fill="F7F9FC" w:val="clear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 xml:space="preserve">  Documento REL-TI-PROD-001  |  Data ____/____/________  |  Uso: apresentação gerencial</w:t>
            </w:r>
          </w:p>
        </w:tc>
      </w:tr>
    </w:tbl>
    <w:p>
      <w:pPr>
        <w:spacing w:after="16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0F2C59" w:val="clear"/>
            <w:vAlign w:val="center"/>
            <w:tcBorders>
              <w:top w:val="nil" w:sz="0" w:color="0F2C59"/>
              <w:left w:val="nil" w:sz="0" w:color="0F2C59"/>
              <w:bottom w:val="nil" w:sz="0" w:color="0F2C59"/>
              <w:right w:val="nil" w:sz="0" w:color="0F2C59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 xml:space="preserve">  1. Objetivo</w:t>
            </w:r>
          </w:p>
        </w:tc>
      </w:tr>
    </w:tbl>
    <w:p>
      <w:pPr>
        <w:spacing w:before="40" w:after="80"/>
      </w:pPr>
    </w:p>
    <w:p>
      <w:pPr>
        <w:spacing w:after="120" w:before="0"/>
      </w:pPr>
      <w:r>
        <w:rPr>
          <w:rFonts w:ascii="Calibri" w:hAnsi="Calibri" w:eastAsia="Calibri"/>
          <w:b w:val="0"/>
          <w:color w:val="4A4A4A"/>
          <w:sz w:val="21"/>
        </w:rPr>
        <w:t>Deixar claro à gerência de Engenharia e Área Técnica quais são os reais ofensores de lentidão — com impacto, responsabilidade e decisão — evitando que a TI continue sendo tratada como causa padrão sem análise de causa raiz.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0F2C59" w:val="clear"/>
            <w:vAlign w:val="center"/>
            <w:tcBorders>
              <w:top w:val="nil" w:sz="0" w:color="0F2C59"/>
              <w:left w:val="nil" w:sz="0" w:color="0F2C59"/>
              <w:bottom w:val="nil" w:sz="0" w:color="0F2C59"/>
              <w:right w:val="nil" w:sz="0" w:color="0F2C59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 xml:space="preserve">  2. Mensagem central</w:t>
            </w:r>
          </w:p>
        </w:tc>
      </w:tr>
    </w:tbl>
    <w:p>
      <w:pPr>
        <w:spacing w:before="4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1B6B93"/>
          <w:left w:val="single" w:sz="12" w:color="1B6B93"/>
          <w:bottom w:val="single" w:sz="12" w:color="1B6B93"/>
          <w:right w:val="single" w:sz="12" w:color="1B6B93"/>
          <w:insideH w:val="single" w:sz="12" w:color="1B6B93"/>
          <w:insideV w:val="single" w:sz="12" w:color="1B6B93"/>
        </w:tblBorders>
      </w:tblPr>
      <w:tblGrid>
        <w:gridCol w:w="9866"/>
      </w:tblGrid>
      <w:tr>
        <w:tc>
          <w:tcPr>
            <w:tcW w:type="dxa" w:w="9866"/>
            <w:shd w:fill="F0F7FB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21"/>
              </w:rPr>
              <w:t xml:space="preserve">A lentidão, na maioria das ocorrências, não nasce de falha estrutural da TI. </w:t>
            </w:r>
            <w:r>
              <w:rPr>
                <w:rFonts w:ascii="Calibri" w:hAnsi="Calibri" w:eastAsia="Calibri"/>
                <w:b/>
                <w:color w:val="0F2C59"/>
                <w:sz w:val="21"/>
              </w:rPr>
              <w:t>Os ofensores recorrentes estão em configuração, desempenho de posto, cabeamento e disciplina de processo.</w:t>
            </w:r>
          </w:p>
        </w:tc>
      </w:tr>
    </w:tbl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0F2C59" w:val="clear"/>
            <w:vAlign w:val="center"/>
            <w:tcBorders>
              <w:top w:val="nil" w:sz="0" w:color="0F2C59"/>
              <w:left w:val="nil" w:sz="0" w:color="0F2C59"/>
              <w:bottom w:val="nil" w:sz="0" w:color="0F2C59"/>
              <w:right w:val="nil" w:sz="0" w:color="0F2C59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 xml:space="preserve">  3. Ofensores prioritários</w:t>
            </w:r>
          </w:p>
        </w:tc>
      </w:tr>
    </w:tbl>
    <w:p>
      <w:pPr>
        <w:spacing w:before="4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197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Ofensor</w:t>
            </w:r>
          </w:p>
        </w:tc>
        <w:tc>
          <w:tcPr>
            <w:tcW w:type="dxa" w:w="197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197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Dono</w:t>
            </w:r>
          </w:p>
        </w:tc>
        <w:tc>
          <w:tcPr>
            <w:tcW w:type="dxa" w:w="197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Decisão</w:t>
            </w:r>
          </w:p>
        </w:tc>
      </w:tr>
      <w:tr>
        <w:tc>
          <w:tcPr>
            <w:tcW w:type="dxa" w:w="1973"/>
            <w:vAlign w:val="center"/>
            <w:shd w:fill="F7F9FC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01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RAPs com baixa eficiência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Fila, timeout e falsa lentidão de sistema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Área Técnica / Engenharia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Spec mínima + upgrade</w:t>
            </w:r>
          </w:p>
        </w:tc>
      </w:tr>
      <w:tr>
        <w:tc>
          <w:tcPr>
            <w:tcW w:type="dxa" w:w="1973"/>
            <w:vAlign w:val="center"/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02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Cabos Cat.5 / Cat.5e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Instabilidade e paradas intermitentes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Área Técnica / Engenharia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Padronizar e substituir</w:t>
            </w:r>
          </w:p>
        </w:tc>
      </w:tr>
      <w:tr>
        <w:tc>
          <w:tcPr>
            <w:tcW w:type="dxa" w:w="1973"/>
            <w:vAlign w:val="center"/>
            <w:shd w:fill="F7F9FC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03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Erro de configuração de roteiro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Parada imediata e retrabalho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Engenharia / Área Técnica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Checklist de liberação</w:t>
            </w:r>
          </w:p>
        </w:tc>
      </w:tr>
      <w:tr>
        <w:tc>
          <w:tcPr>
            <w:tcW w:type="dxa" w:w="1973"/>
            <w:vAlign w:val="center"/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04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IP duplicado / conexão física ruim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Queda de comunicação do posto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Área Técnica / Engenharia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Governança de IP + cabo</w:t>
            </w:r>
          </w:p>
        </w:tc>
      </w:tr>
      <w:tr>
        <w:tc>
          <w:tcPr>
            <w:tcW w:type="dxa" w:w="1973"/>
            <w:vAlign w:val="center"/>
            <w:shd w:fill="F7F9FC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05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PCs/RASPs com CPU saturada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Travamento e perda de ciclo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Área Técnica / Engenharia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Adequar hardware/processo</w:t>
            </w:r>
          </w:p>
        </w:tc>
      </w:tr>
      <w:tr>
        <w:tc>
          <w:tcPr>
            <w:tcW w:type="dxa" w:w="1973"/>
            <w:vAlign w:val="center"/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06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Passou / não passou desorganizado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Retrabalho e perda de rastreio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Engenharia / Área Técnica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Status padronizado</w:t>
            </w:r>
          </w:p>
        </w:tc>
      </w:tr>
    </w:tbl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0F2C59" w:val="clear"/>
            <w:vAlign w:val="center"/>
            <w:tcBorders>
              <w:top w:val="nil" w:sz="0" w:color="0F2C59"/>
              <w:left w:val="nil" w:sz="0" w:color="0F2C59"/>
              <w:bottom w:val="nil" w:sz="0" w:color="0F2C59"/>
              <w:right w:val="nil" w:sz="0" w:color="0F2C59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 xml:space="preserve">  4. Papéis</w:t>
            </w:r>
          </w:p>
        </w:tc>
      </w:tr>
    </w:tbl>
    <w:p>
      <w:pPr>
        <w:spacing w:before="4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4933"/>
        <w:gridCol w:w="4933"/>
      </w:tblGrid>
      <w:tr>
        <w:tc>
          <w:tcPr>
            <w:tcW w:type="dxa" w:w="493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Área</w:t>
            </w:r>
          </w:p>
        </w:tc>
        <w:tc>
          <w:tcPr>
            <w:tcW w:type="dxa" w:w="493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Responsabilidade estratégica</w:t>
            </w:r>
          </w:p>
        </w:tc>
      </w:tr>
      <w:tr>
        <w:tc>
          <w:tcPr>
            <w:tcW w:type="dxa" w:w="4933"/>
            <w:vAlign w:val="center"/>
            <w:shd w:fill="F7F9FC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Engenharia</w:t>
            </w:r>
          </w:p>
        </w:tc>
        <w:tc>
          <w:tcPr>
            <w:tcW w:type="dxa" w:w="493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Roteiro, modelo, postos e padronização de processo</w:t>
            </w:r>
          </w:p>
        </w:tc>
      </w:tr>
      <w:tr>
        <w:tc>
          <w:tcPr>
            <w:tcW w:type="dxa" w:w="4933"/>
            <w:vAlign w:val="center"/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Área Técnica</w:t>
            </w:r>
          </w:p>
        </w:tc>
        <w:tc>
          <w:tcPr>
            <w:tcW w:type="dxa" w:w="493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Condição do posto: equipamento, cabo, IP e desempenho</w:t>
            </w:r>
          </w:p>
        </w:tc>
      </w:tr>
      <w:tr>
        <w:tc>
          <w:tcPr>
            <w:tcW w:type="dxa" w:w="4933"/>
            <w:vAlign w:val="center"/>
            <w:shd w:fill="F7F9FC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TI</w:t>
            </w:r>
          </w:p>
        </w:tc>
        <w:tc>
          <w:tcPr>
            <w:tcW w:type="dxa" w:w="493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Diagnóstico com evidência, rede/sistema e capacitação</w:t>
            </w:r>
          </w:p>
        </w:tc>
      </w:tr>
    </w:tbl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0F2C59" w:val="clear"/>
            <w:vAlign w:val="center"/>
            <w:tcBorders>
              <w:top w:val="nil" w:sz="0" w:color="0F2C59"/>
              <w:left w:val="nil" w:sz="0" w:color="0F2C59"/>
              <w:bottom w:val="nil" w:sz="0" w:color="0F2C59"/>
              <w:right w:val="nil" w:sz="0" w:color="0F2C59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 xml:space="preserve">  5. Compromisso da TI — Treinamento</w:t>
            </w:r>
          </w:p>
        </w:tc>
      </w:tr>
    </w:tbl>
    <w:p>
      <w:pPr>
        <w:spacing w:before="40" w:after="80"/>
      </w:pPr>
    </w:p>
    <w:p>
      <w:pPr>
        <w:spacing w:after="40" w:before="0"/>
      </w:pPr>
      <w:r>
        <w:rPr>
          <w:rFonts w:ascii="Calibri" w:hAnsi="Calibri" w:eastAsia="Calibri"/>
          <w:b w:val="0"/>
          <w:color w:val="4A4A4A"/>
          <w:sz w:val="21"/>
        </w:rPr>
        <w:t>A TI capacitará Área Técnica e Engenharia em:</w:t>
      </w:r>
    </w:p>
    <w:p>
      <w:pPr>
        <w:pStyle w:val="ListBullet"/>
      </w:pPr>
      <w:r>
        <w:rPr>
          <w:rFonts w:ascii="Calibri" w:hAnsi="Calibri" w:eastAsia="Calibri"/>
          <w:b w:val="0"/>
          <w:color w:val="4A4A4A"/>
          <w:sz w:val="21"/>
        </w:rPr>
        <w:t>Configuração de IP em RAPs (padronização e prevenção de duplicidade)</w:t>
      </w:r>
    </w:p>
    <w:p>
      <w:pPr>
        <w:pStyle w:val="ListBullet"/>
      </w:pPr>
      <w:r>
        <w:rPr>
          <w:rFonts w:ascii="Calibri" w:hAnsi="Calibri" w:eastAsia="Calibri"/>
          <w:b w:val="0"/>
          <w:color w:val="4A4A4A"/>
          <w:sz w:val="21"/>
        </w:rPr>
        <w:t>Filebeat — coleta/envio de logs e boas práticas</w:t>
      </w:r>
    </w:p>
    <w:p>
      <w:pPr>
        <w:pStyle w:val="ListBullet"/>
      </w:pPr>
      <w:r>
        <w:rPr>
          <w:rFonts w:ascii="Calibri" w:hAnsi="Calibri" w:eastAsia="Calibri"/>
          <w:b w:val="0"/>
          <w:color w:val="4A4A4A"/>
          <w:sz w:val="21"/>
        </w:rPr>
        <w:t>Checklist mínimo antes de classificar ocorrência como “falha de TI”</w:t>
      </w:r>
    </w:p>
    <w:p>
      <w:pPr>
        <w:spacing w:after="120" w:before="80"/>
      </w:pPr>
      <w:r>
        <w:rPr>
          <w:rFonts w:ascii="Calibri" w:hAnsi="Calibri" w:eastAsia="Calibri"/>
          <w:b w:val="0"/>
          <w:color w:val="4A4A4A"/>
          <w:sz w:val="20"/>
        </w:rPr>
        <w:t>Data: ____/____/________     Responsável TI: ____________________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0F2C59" w:val="clear"/>
            <w:vAlign w:val="center"/>
            <w:tcBorders>
              <w:top w:val="nil" w:sz="0" w:color="0F2C59"/>
              <w:left w:val="nil" w:sz="0" w:color="0F2C59"/>
              <w:bottom w:val="nil" w:sz="0" w:color="0F2C59"/>
              <w:right w:val="nil" w:sz="0" w:color="0F2C59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 xml:space="preserve">  6. Decisões solicitadas</w:t>
            </w:r>
          </w:p>
        </w:tc>
      </w:tr>
    </w:tbl>
    <w:p>
      <w:pPr>
        <w:spacing w:before="4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4933"/>
        <w:gridCol w:w="4933"/>
      </w:tblGrid>
      <w:tr>
        <w:tc>
          <w:tcPr>
            <w:tcW w:type="dxa" w:w="493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493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Decisão</w:t>
            </w:r>
          </w:p>
        </w:tc>
      </w:tr>
      <w:tr>
        <w:tc>
          <w:tcPr>
            <w:tcW w:type="dxa" w:w="4933"/>
            <w:vAlign w:val="center"/>
            <w:shd w:fill="F7F9FC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1</w:t>
            </w:r>
          </w:p>
        </w:tc>
        <w:tc>
          <w:tcPr>
            <w:tcW w:type="dxa" w:w="493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Reconhecer os ofensores como prioridade de Engenharia e Área Técnica</w:t>
            </w:r>
          </w:p>
        </w:tc>
      </w:tr>
      <w:tr>
        <w:tc>
          <w:tcPr>
            <w:tcW w:type="dxa" w:w="4933"/>
            <w:vAlign w:val="center"/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2</w:t>
            </w:r>
          </w:p>
        </w:tc>
        <w:tc>
          <w:tcPr>
            <w:tcW w:type="dxa" w:w="493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Definir dono e prazo para cada ação do plano</w:t>
            </w:r>
          </w:p>
        </w:tc>
      </w:tr>
      <w:tr>
        <w:tc>
          <w:tcPr>
            <w:tcW w:type="dxa" w:w="4933"/>
            <w:vAlign w:val="center"/>
            <w:shd w:fill="F7F9FC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3</w:t>
            </w:r>
          </w:p>
        </w:tc>
        <w:tc>
          <w:tcPr>
            <w:tcW w:type="dxa" w:w="493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Exigir evidência antes de escalar ocorrência para TI</w:t>
            </w:r>
          </w:p>
        </w:tc>
      </w:tr>
      <w:tr>
        <w:tc>
          <w:tcPr>
            <w:tcW w:type="dxa" w:w="4933"/>
            <w:vAlign w:val="center"/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4</w:t>
            </w:r>
          </w:p>
        </w:tc>
        <w:tc>
          <w:tcPr>
            <w:tcW w:type="dxa" w:w="493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Apoiar o treinamento e a padronização de IP / Filebeat</w:t>
            </w:r>
          </w:p>
        </w:tc>
      </w:tr>
    </w:tbl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0F2C59" w:val="clear"/>
            <w:vAlign w:val="center"/>
            <w:tcBorders>
              <w:top w:val="nil" w:sz="0" w:color="0F2C59"/>
              <w:left w:val="nil" w:sz="0" w:color="0F2C59"/>
              <w:bottom w:val="nil" w:sz="0" w:color="0F2C59"/>
              <w:right w:val="nil" w:sz="0" w:color="0F2C59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 xml:space="preserve">  7. Plano de ação</w:t>
            </w:r>
          </w:p>
        </w:tc>
      </w:tr>
    </w:tbl>
    <w:p>
      <w:pPr>
        <w:spacing w:before="4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97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Ação</w:t>
            </w:r>
          </w:p>
        </w:tc>
        <w:tc>
          <w:tcPr>
            <w:tcW w:type="dxa" w:w="197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Dono</w:t>
            </w:r>
          </w:p>
        </w:tc>
        <w:tc>
          <w:tcPr>
            <w:tcW w:type="dxa" w:w="197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Prazo</w:t>
            </w:r>
          </w:p>
        </w:tc>
        <w:tc>
          <w:tcPr>
            <w:tcW w:type="dxa" w:w="1973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973"/>
            <w:vAlign w:val="center"/>
            <w:shd w:fill="F7F9FC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PA-01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Padronizar/substituir cabos e conectores críticos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Área Técnica / Engenharia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__/__/____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Aberto</w:t>
            </w:r>
          </w:p>
        </w:tc>
      </w:tr>
      <w:tr>
        <w:tc>
          <w:tcPr>
            <w:tcW w:type="dxa" w:w="1973"/>
            <w:vAlign w:val="center"/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PA-02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Eliminar IPs duplicados e oficializar endereçamento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Área Técnica / Engenharia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__/__/____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Aberto</w:t>
            </w:r>
          </w:p>
        </w:tc>
      </w:tr>
      <w:tr>
        <w:tc>
          <w:tcPr>
            <w:tcW w:type="dxa" w:w="1973"/>
            <w:vAlign w:val="center"/>
            <w:shd w:fill="F7F9FC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PA-03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Controle de liberação de roteiro (dupla verificação)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Engenharia / Área Técnica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__/__/____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Aberto</w:t>
            </w:r>
          </w:p>
        </w:tc>
      </w:tr>
      <w:tr>
        <w:tc>
          <w:tcPr>
            <w:tcW w:type="dxa" w:w="1973"/>
            <w:vAlign w:val="center"/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PA-04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Adequação de RASPs/PCs com baixa performance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Área Técnica / Engenharia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__/__/____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Aberto</w:t>
            </w:r>
          </w:p>
        </w:tc>
      </w:tr>
      <w:tr>
        <w:tc>
          <w:tcPr>
            <w:tcW w:type="dxa" w:w="1973"/>
            <w:vAlign w:val="center"/>
            <w:shd w:fill="F7F9FC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PA-05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Padronizar status passou/não passou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Engenharia / Área Técnica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__/__/____</w:t>
            </w:r>
          </w:p>
        </w:tc>
        <w:tc>
          <w:tcPr>
            <w:tcW w:type="dxa" w:w="1973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Aberto</w:t>
            </w:r>
          </w:p>
        </w:tc>
      </w:tr>
      <w:tr>
        <w:tc>
          <w:tcPr>
            <w:tcW w:type="dxa" w:w="1973"/>
            <w:vAlign w:val="center"/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PA-06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Treinamento TI (IP RAP + Filebeat + checklist)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TI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__/__/____</w:t>
            </w:r>
          </w:p>
        </w:tc>
        <w:tc>
          <w:tcPr>
            <w:tcW w:type="dxa" w:w="1973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Aberto</w:t>
            </w:r>
          </w:p>
        </w:tc>
      </w:tr>
    </w:tbl>
    <w:p>
      <w:pPr>
        <w:spacing w:after="12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0F2C59" w:val="clear"/>
            <w:vAlign w:val="center"/>
            <w:tcBorders>
              <w:top w:val="nil" w:sz="0" w:color="0F2C59"/>
              <w:left w:val="nil" w:sz="0" w:color="0F2C59"/>
              <w:bottom w:val="nil" w:sz="0" w:color="0F2C59"/>
              <w:right w:val="nil" w:sz="0" w:color="0F2C59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 xml:space="preserve">  8. Fechamento</w:t>
            </w:r>
          </w:p>
        </w:tc>
      </w:tr>
    </w:tbl>
    <w:p>
      <w:pPr>
        <w:spacing w:before="4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12" w:color="0F2C59"/>
          <w:left w:val="single" w:sz="12" w:color="0F2C59"/>
          <w:bottom w:val="single" w:sz="12" w:color="0F2C59"/>
          <w:right w:val="single" w:sz="12" w:color="0F2C59"/>
          <w:insideH w:val="single" w:sz="12" w:color="0F2C59"/>
          <w:insideV w:val="single" w:sz="12" w:color="0F2C59"/>
        </w:tblBorders>
      </w:tblPr>
      <w:tblGrid>
        <w:gridCol w:w="9866"/>
      </w:tblGrid>
      <w:tr>
        <w:tc>
          <w:tcPr>
            <w:tcW w:type="dxa" w:w="9866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>Problema de processo não se resolve com chamado de TI.</w:t>
              <w:br/>
            </w:r>
            <w:r>
              <w:rPr>
                <w:rFonts w:ascii="Calibri" w:hAnsi="Calibri" w:eastAsia="Calibri"/>
                <w:b w:val="0"/>
                <w:color w:val="9BC9E0"/>
                <w:sz w:val="20"/>
              </w:rPr>
              <w:t>Disciplina de processo  ·  Padronização de posto  ·  Dono claro</w:t>
            </w:r>
          </w:p>
        </w:tc>
      </w:tr>
    </w:tbl>
    <w:p>
      <w:pPr>
        <w:spacing w:after="16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0F2C59" w:val="clear"/>
            <w:vAlign w:val="center"/>
            <w:tcBorders>
              <w:top w:val="nil" w:sz="0" w:color="0F2C59"/>
              <w:left w:val="nil" w:sz="0" w:color="0F2C59"/>
              <w:bottom w:val="nil" w:sz="0" w:color="0F2C59"/>
              <w:right w:val="nil" w:sz="0" w:color="0F2C59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4"/>
              </w:rPr>
              <w:t xml:space="preserve">  9. Aprovações</w:t>
            </w:r>
          </w:p>
        </w:tc>
      </w:tr>
    </w:tbl>
    <w:p>
      <w:pPr>
        <w:spacing w:before="4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Área</w:t>
            </w:r>
          </w:p>
        </w:tc>
        <w:tc>
          <w:tcPr>
            <w:tcW w:type="dxa" w:w="2466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Nome</w:t>
            </w:r>
          </w:p>
        </w:tc>
        <w:tc>
          <w:tcPr>
            <w:tcW w:type="dxa" w:w="2466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Assinatura</w:t>
            </w:r>
          </w:p>
        </w:tc>
        <w:tc>
          <w:tcPr>
            <w:tcW w:type="dxa" w:w="2466"/>
            <w:vAlign w:val="center"/>
            <w:shd w:fill="0F2C59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Data</w:t>
            </w:r>
          </w:p>
        </w:tc>
      </w:tr>
      <w:tr>
        <w:tc>
          <w:tcPr>
            <w:tcW w:type="dxa" w:w="2466"/>
            <w:vAlign w:val="center"/>
            <w:shd w:fill="F7F9FC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TI</w:t>
            </w:r>
          </w:p>
        </w:tc>
        <w:tc>
          <w:tcPr>
            <w:tcW w:type="dxa" w:w="2466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</w:r>
          </w:p>
        </w:tc>
        <w:tc>
          <w:tcPr>
            <w:tcW w:type="dxa" w:w="2466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</w:r>
          </w:p>
        </w:tc>
        <w:tc>
          <w:tcPr>
            <w:tcW w:type="dxa" w:w="2466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__/__/____</w:t>
            </w:r>
          </w:p>
        </w:tc>
      </w:tr>
      <w:tr>
        <w:tc>
          <w:tcPr>
            <w:tcW w:type="dxa" w:w="2466"/>
            <w:vAlign w:val="center"/>
            <w:shd w:fill="FFFFFF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Área Técnica</w:t>
            </w:r>
          </w:p>
        </w:tc>
        <w:tc>
          <w:tcPr>
            <w:tcW w:type="dxa" w:w="2466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</w:r>
          </w:p>
        </w:tc>
        <w:tc>
          <w:tcPr>
            <w:tcW w:type="dxa" w:w="2466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</w:r>
          </w:p>
        </w:tc>
        <w:tc>
          <w:tcPr>
            <w:tcW w:type="dxa" w:w="2466"/>
            <w:vAlign w:val="center"/>
            <w:shd w:fill="FFFFFF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__/__/____</w:t>
            </w:r>
          </w:p>
        </w:tc>
      </w:tr>
      <w:tr>
        <w:tc>
          <w:tcPr>
            <w:tcW w:type="dxa" w:w="2466"/>
            <w:vAlign w:val="center"/>
            <w:shd w:fill="F7F9FC" w:val="clear"/>
          </w:tcPr>
          <w:p>
            <w:pPr>
              <w:jc w:val="center"/>
            </w:pPr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Engenharia</w:t>
            </w:r>
          </w:p>
        </w:tc>
        <w:tc>
          <w:tcPr>
            <w:tcW w:type="dxa" w:w="2466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</w:r>
          </w:p>
        </w:tc>
        <w:tc>
          <w:tcPr>
            <w:tcW w:type="dxa" w:w="2466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</w:r>
          </w:p>
        </w:tc>
        <w:tc>
          <w:tcPr>
            <w:tcW w:type="dxa" w:w="2466"/>
            <w:vAlign w:val="center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4A4A4A"/>
                <w:sz w:val="18"/>
              </w:rPr>
              <w:t>__/__/____</w:t>
            </w:r>
          </w:p>
        </w:tc>
      </w:tr>
    </w:tbl>
    <w:p>
      <w:pPr>
        <w:spacing w:after="120"/>
      </w:pP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