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E79"/>
          <w:sz w:val="32"/>
        </w:rPr>
        <w:t>Anexo de Evidências — Ofensores de Lentidão na Produção</w:t>
      </w:r>
    </w:p>
    <w:p>
      <w:pPr>
        <w:jc w:val="center"/>
      </w:pPr>
      <w:r>
        <w:rPr>
          <w:rFonts w:ascii="Calibri" w:hAnsi="Calibri" w:eastAsia="Calibri"/>
          <w:b w:val="0"/>
          <w:color w:val="595959"/>
          <w:sz w:val="22"/>
        </w:rPr>
        <w:t>Documento de suporte à apresentação estratégica (TI · Área Técnica · Engenharia)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Documento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REL-TI-PROD-001-ANEXO</w:t>
            </w:r>
          </w:p>
        </w:tc>
      </w:tr>
      <w:tr>
        <w:tc>
          <w:tcPr>
            <w:tcW w:type="dxa" w:w="4986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Data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____/____/________</w:t>
            </w:r>
          </w:p>
        </w:tc>
      </w:tr>
      <w:tr>
        <w:tc>
          <w:tcPr>
            <w:tcW w:type="dxa" w:w="4986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Público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Gerência de Engenharia · Área Técnica · TI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1. Objetivo deste anexo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Comprovar, com evidência visual e sistêmica, os ofensores que geram lentidão e interrupção na linha — reforçando que a causa raiz, na maioria dos casos, está em condição de posto, cabeamento e configuração de processo, e não em “falha padrão de TI”.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2. Índice das evidências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Ofensor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Cabo RJ45 sem presilha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Queda de rede da RASP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RJ45 oxidado / degradado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Instabilidade de comunicação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Utilização de cabo Cat.5 / Cat.5e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Cabeamento abaixo do padrão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RASP pendurada pelos cabos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Falta de disciplina de instalação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Modelo mal configurado no roteiro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 de configuração de processo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Falha recorrente de modelo/linha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 de configuração de processo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RASP TCL006 — CPU saturada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Baixa eficiência de processamento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RASP TCL007 — CPU saturada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Baixa eficiência de processamento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3. Mensagem para a gerência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As evidências abaixo mostram padrões repetitivos: conexão física comprometida, instalação inadequada, configuração de roteiro divergente e posto com processamento saturado. Sem disciplina de processo e padronização de posto, a lentidão vira rotina e o apontamento indevido continua caindo na TI.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Evidência 1 — Cabo RJ45 sem presilha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Estabilidade de comunicação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Conector RJ45 sem a presilha de travamento (trava plástica). Sem essa trava, o cabo não fica fixo na porta da RASP e pode soltar com vibração ou leve movimento.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Queda intermitente de rede da RASP, perda de comunicação do posto e falsa percepção de “sistema/TI fora”.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Conector azul sem a presilha de retenção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Encaixe instável na porta Ethernet da RASP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Risco alto de desconexão por vibração do posto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01 — cabo sem presilha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2 — RJ45 oxidado / degradado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Padronização de posto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Conector RJ45 com sinais de degradação/oxidação e condição física comprometida, reduzindo a qualidade do contato elétrico.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Instabilidade de link, retransmissão, lentidão e quedas de comunicação no posto.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Conector com aspecto degradado/oxidado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Contato elétrico comprometido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Aumenta falha intermitente difícil de reproduzir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02 — RJ45 oxidado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3 — Utilização de cabo Cat.5 / Cat.5e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Padronização de infraestrutura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Identificação visual de cabo marcado como CAT.5E em uso no ambiente de posto/linha.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Menor margem de robustez de comunicação, maior sensibilidade a ruído/interferência e contribuição para lentidão/instabilidade.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Marcação legível no cabo: CAT.5E / UTP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Indica padrão antigo/abaixo do desejável para padronização da planta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Exige substituição e definição de categoria mínima oficial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03 — cabo Cat.5/Cat.5e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4 — RASP pendurada pelos cabos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Disciplina de processo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Raspberry Pi sem fixação adequada, sustentada pelos próprios cabos (peso da placa/caixa puxando conectores).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Risco de dano a portas, desconexão, queda de rede e parada do posto. Evidência clara de falta de disciplina na instalação.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RASP suspensa pelos cabos (USB/rede/HDMI)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Cabos tensionados e organização precária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Canaleta disponível, porém sem uso adequado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Instalação fora do padrão de posto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04 — RASP pendurada pelos cabos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5 — Modelo mal configurado no roteiro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Configuração na origem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Coleta ativa nas bases, porém o modelo cadastrado no roteiro está diferente das placas que estão na linha — gerando FAIL em série.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Parada de fluxo, retrabalho, atraso de liberação e apontamento indevido para TI, quando a causa é configuração de processo.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Engenharia / Área Técnica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Estação: L36.1_TCL_FCT_1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Múltiplos seriais com Resultado FAIL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Mensagens: “não pertence ao produto cadastrado nesta linha” / obrigatoriedade de passar por ICT / NF já associada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Registro operacional: “as bases estão coletando, mas o modelo cadastrado no roteiro é diferente das placas da linha”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Amostra de falhas (resumo)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Estação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Tipo de erro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L36.1_TCL_FCT_1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Serial não pertence ao produto da linha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L36.1_TCL_FCT_1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Obrigatório passar por L36.1_TCL_ICT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L36.1_TCL_FCT_1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Serial já associado à Nota Fiscal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</w:tbl>
    <w:p/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05 — modelo diferente no roteiro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6 — Falha recorrente — serial x produto da linha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Liberação com responsabilidade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Nova ocorrência de FAIL em lote: seriais lidos na estação não pertencem ao produto cadastrado na linha.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Confirma reincidência do ofensor de configuração/roteiro. Sem controle de liberação, o erro se repete e a linha perde ritmo.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Engenharia / Área Técnica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Tela “Últimos Logs” com múltiplos FAIL seguidos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Estação: L36_TCL_FCT_1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Descrição padrão: “não pertence ao produto cadastrado nesta linha”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Padrão recorrente (não é evento isolado)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Amostra de seriais com FAIL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Serial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Estação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F263355C102502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F263355C102105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F263355C101079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F263355C100549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F263355C101975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L36_TCL_FCT_1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FAIL</w:t>
            </w:r>
          </w:p>
        </w:tc>
      </w:tr>
    </w:tbl>
    <w:p/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06 — logs de FAIL por modelo/linha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7 — RASP TCL006 — processamento saturado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Desempenho do posto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Monitoramento htop na RASP tcl006 (Modelo TCL006) mostra núcleos de CPU em 100%, com processo Python consumindo o processamento.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Lentidão de resposta do posto, timeout e percepção errada de “rede/sistema lento”, quando o gargalo é desempenho do equipamento/aplicação no posto.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 (apoio TI no diagnóstico)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Host: pi@tcl006 | Modelo: TCL006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CPU: núcleos em 100% (saturação)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Memória nesta captura: ~1,67 GB de ~7,87 GB (com folga)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Processo crítico: /usr/bin/python3 com uso elevado de CPU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Conclusão técnica: gargalo de processamento (CPU), não de “falha genérica de TI”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07 — htop TCL006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Evidência 8 — RASP TCL007 — processamento saturado</w:t>
      </w:r>
    </w:p>
    <w:p>
      <w:r>
        <w:rPr>
          <w:rFonts w:ascii="Calibri" w:hAnsi="Calibri" w:eastAsia="Calibri"/>
          <w:b/>
          <w:sz w:val="22"/>
        </w:rPr>
        <w:t xml:space="preserve">Palavra-chave: </w:t>
      </w:r>
      <w:r>
        <w:rPr>
          <w:rFonts w:ascii="Calibri" w:hAnsi="Calibri" w:eastAsia="Calibri"/>
          <w:b/>
          <w:color w:val="1F4E79"/>
          <w:sz w:val="22"/>
        </w:rPr>
        <w:t>Desempenho do posto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Achado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Monitoramento htop na RASP tcl007 (Modelo TCL007) mostra CPU em 100% de forma sustentada, novamente com processo Python no topo.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Impacto na produção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Reincidência do ofensor de desempenho: mais de um posto com o mesmo padrão de saturação, reforçando necessidade de adequação de hardware/processo.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Responsabilidade primária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Área Técnica / Engenharia (apoio TI no diagnóstico)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O que a evidência mostra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Host: pi@tcl007 | Modelo: TCL007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CPU core 0 em 100% (saturação)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Memória nesta captura: ~1,76 GB de ~7,87 GB (com folga)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Processo crítico: /usr/bin/python com ~100% CPU (execução prolongada)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Padrão repetido em TCL006 e TCL007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Registro fotográfico /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595959"/>
                <w:sz w:val="22"/>
              </w:rPr>
              <w:br/>
              <w:br/>
              <w:t>[ COLE A IMAGEM AQUI ]</w:t>
              <w:br/>
              <w:t>Evidência 08 — htop TCL007</w:t>
              <w:br/>
              <w:br/>
            </w:r>
          </w:p>
          <w:p/>
          <w:p/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4. Síntese para decisão gerencial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Grupo de ofensor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Evidências</w:t>
            </w:r>
          </w:p>
        </w:tc>
        <w:tc>
          <w:tcPr>
            <w:tcW w:type="dxa" w:w="332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Decisão necessária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Conexão física / cabeamento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1, 2, 3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Padronizar cabo/conectores e substituir itens degradados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Disciplina de instalação do posto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Fixar RASPs e organizar cabeamento (fim de improvisos)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Configuração de roteiro/modelo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5, 6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Controle de liberação + dupla verificação antes de produzir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Desempenho de RASP (CPU saturada)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7, 8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Adequar posto/processo e plano de capacidade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5. Conclusão do anexo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As evidências confirmam o posicionamento estratégico: a lentidão tem causa raiz visível em posto, cabeamento e configuração. A TI apoia com diagnóstico e capacitação (IP de RAP + Filebeat), mas a correção definitiva depende de decisão e execução da Engenharia e da Área Técnica.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6. Aprovações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Assinatura</w:t>
            </w:r>
          </w:p>
        </w:tc>
        <w:tc>
          <w:tcPr>
            <w:tcW w:type="dxa" w:w="2493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</w:tbl>
    <w:p/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