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9BC9E0"/>
                <w:sz w:val="22"/>
              </w:rPr>
              <w:br/>
              <w:t>ROTEIRO DE APRESENTAÇÃO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Como explicar o Anexo de Evidências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D6E3F0"/>
                <w:sz w:val="22"/>
              </w:rPr>
              <w:t>Guia de fala para TI  ·  Área Técnica  ·  Engenharia</w:t>
              <w:br/>
            </w:r>
          </w:p>
        </w:tc>
      </w:tr>
      <w:tr>
        <w:tc>
          <w:tcPr>
            <w:tcW w:type="dxa" w:w="10200"/>
            <w:shd w:fill="1B6B93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Mostre a imagem  →  diga o achado  →  diga o impacto  →  diga o dono</w:t>
            </w:r>
          </w:p>
        </w:tc>
      </w:tr>
      <w:tr>
        <w:tc>
          <w:tcPr>
            <w:tcW w:type="dxa" w:w="10200"/>
            <w:shd w:fill="F7F9FC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 xml:space="preserve">  Tempo sugerido: 8 a 10 minutos  |  Feche com o treinamento da TI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Como usar este roteiro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1"/>
        </w:rPr>
        <w:t>Abra o Anexo de Evidências no WPS. Em cada evidência: mostre a imagem, leia o bloco “FALE ASSIM” e avance. Não leia tabela inteira — fale o essencial.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0. Abertura (30 segundos)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Abertura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“Boa tarde. Vou apresentar evidências reais de lentidão na linha — não opinião, e sim causa raiz com foto e print.”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“A mensagem é clara: na maioria dos casos, não é falha estrutural de TI. É posto, cabeamento e configuração.”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“No final, a TI assume um compromisso: vamos dar treinamento para reduzir reincidência.”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01 — Cabo RJ45 sem presilha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Estabilidade de comunicação  |  Ação: mostrar a imagem 01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Cabo RJ45 sem presilha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“Nesta imagem, o cabo está sem a presilha de travamento.”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“Sem essa trava, qualquer vibração solta o cabo da RASP.”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“Resultado: queda de rede do posto — e a culpa cai na TI sem ser causa raiz.”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“Dono da correção: Área Técnica e Engenharia. Ação: substituir conectores e padronizar cabo.”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02 — RJ45 oxidado / degradado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Padronização de posto  |  Ação: mostrar a imagem 02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RJ45 oxidado / degradado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“Aqui vemos conector degradado/oxidado.”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“Contato ruim gera instabilidade, lentidão e falha intermitente.”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“Isso não se resolve reiniciando servidor. Resolve trocando e padronizando o posto.”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“Dono: Área Técnica e Engenharia.”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03 — Cabo Cat.5 / Cat.5e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Padronização de infraestrutura  |  Ação: mostrar a imagem 03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Cabo Cat.5 / Cat.5e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“Esta foto mostra cabo identificado como Cat.5 / Cat.5e em uso.”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“É infraestrutura abaixo do padrão desejável para a linha.”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“Contribui para instabilidade e perda de comunicação.”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“Decisão necessária: definir categoria mínima e substituir trechos críticos.”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04 — RASP pendurada pelos cabos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Disciplina de processo  |  Ação: mostrar a imagem 04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RASP pendurada pelos cabos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“Aqui a RASP está pendurada pelos próprios cabos, sem fixação.”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“Isso é falta de disciplina de instalação no posto.”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“Risco: dano de porta, desconexão e parada.”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“Palavra-chave: disciplina de processo. Dono: Área Técnica e Engenharia.”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05 — Modelo divergente no roteiro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Configuração na origem  |  Ação: mostrar a imagem 05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Modelo divergente no roteiro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“Neste print, as bases estão coletando — então não é ‘sistema parado’.”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“O problema é outro: o modelo cadastrado no roteiro está diferente das placas da linha.”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“Por isso vários FAIL: serial não pertence ao produto cadastrado.”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“Isso é configuração na origem. Dono: Engenharia e Área Técnica.”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06 — FAIL recorrente serial × linha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Liberação com responsabilidade  |  Ação: mostrar a imagem 06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FAIL recorrente serial × linha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“Esta evidência mostra que o problema se repete: vários FAIL seguidos.”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“Não é evento isolado. É reincidência de liberação sem validação.”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“Precisamos de checklist e dupla verificação antes de produzir.”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“Sem isso, a linha perde ritmo e o apontamento volta para a TI.”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07 — TCL006 — CPU em 100%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Desempenho do posto  |  Ação: mostrar a imagem 07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TCL006 — CPU em 100%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“No htop da TCL006, a CPU está saturada em 100%.”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“O posto fica lento, mas a memória nesta captura ainda tem folga.”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“Ou seja: gargalo de processamento do posto, não ‘rede lenta’ genérica.”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“Dono: Área Técnica e Engenharia, com apoio da TI no diagnóstico.”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Evidência 08 — TCL007 — CPU em 100%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/>
          <w:b/>
          <w:color w:val="1B6B93"/>
          <w:sz w:val="20"/>
        </w:rPr>
        <w:t>Palavra-chave: Desempenho do posto  |  Ação: mostrar a imagem 08 no anexo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TCL007 — CPU em 100%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“Na TCL007 o mesmo padrão: CPU no máximo, processo Python no topo.”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“Isso confirma reincidência em mais de um posto.”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“Precisamos adequar desempenho do posto/processo, não só abrir chamado de TI.”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“Decisão: plano de capacidade e padrão mínimo de equipamento.”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Síntese antes do fechamento (40 segundos)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Síntese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“Resumindo as evidências em quatro grupos:”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“1) Conexão física e cabeamento — evidências 01, 02 e 03.”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“2) Disciplina de instalação — evidência 04.”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“3) Configuração de roteiro — evidências 05 e 06.”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“4) Desempenho de RASP — evidências 07 e 08.”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“Em todos, a correção definitiva é de Engenharia e Área Técnica.”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Fechamento — Treinamento da TI (obrigatório)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Compromisso + pedido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“Para fechar: a TI não veio só apontar problema.”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“Nós vamos dar treinamento para Área Técnica e Engenharia, cobrindo três pontos:”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“1) Configuração de IP em RAP — para evitar duplicidade e erro de endereçamento.”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“2) Filebeat — coleta e envio de logs com boa prática.”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“3) Checklist mínimo — antes de classificar ocorrência como falha de TI.”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“Com isso reduzimos reincidência. Mas precisamos de dono, prazo e disciplina de processo.”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“Frase final: problema de processo não se resolve com chamado de TI.”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2C59" w:val="clear"/>
            <w:vAlign w:val="cente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Cartão rápido (se o tempo apertar — 90 segundos)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B6B93"/>
          <w:left w:val="single" w:sz="8" w:color="1B6B93"/>
          <w:bottom w:val="single" w:sz="8" w:color="1B6B93"/>
          <w:right w:val="single" w:sz="8" w:color="1B6B93"/>
          <w:insideH w:val="single" w:sz="8" w:color="1B6B93"/>
          <w:insideV w:val="single" w:sz="8" w:color="1B6B93"/>
        </w:tblBorders>
      </w:tblPr>
      <w:tblGrid>
        <w:gridCol w:w="10200"/>
      </w:tblGrid>
      <w:tr>
        <w:tc>
          <w:tcPr>
            <w:tcW w:type="dxa" w:w="10200"/>
            <w:vAlign w:val="center"/>
            <w:shd w:fill="1B6B9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FALE ASSIM — Versão ultracurta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“Temos evidência de cabo sem presilha, RJ45 ruim, Cat5, RASP pendurada, roteiro errado e RASP com CPU no máximo.”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“Causa raiz: posto, cabeamento e configuração — não falha padrão de TI.”</w:t>
            </w:r>
          </w:p>
        </w:tc>
      </w:tr>
      <w:tr>
        <w:tc>
          <w:tcPr>
            <w:tcW w:type="dxa" w:w="10200"/>
            <w:shd w:fill="F0F7FB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“Engenharia e Área Técnica corrigem na origem.”</w:t>
            </w:r>
          </w:p>
        </w:tc>
      </w:tr>
      <w:tr>
        <w:tc>
          <w:tcPr>
            <w:tcW w:type="dxa" w:w="1020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1"/>
              </w:rPr>
              <w:t>“A TI capacita: IP de RAP, Filebeat e checklist. Vamos dar esse treinamento.”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