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0E71DBF8" w:rsidR="0069452F" w:rsidRPr="0037364C" w:rsidRDefault="007945CD" w:rsidP="0017183C">
                                <w:pPr>
                                  <w:pStyle w:val="Titulodocumento"/>
                                  <w:numPr>
                                    <w:ilvl w:val="0"/>
                                    <w:numId w:val="13"/>
                                  </w:numPr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Utilizar compilador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0E71DBF8" w:rsidR="0069452F" w:rsidRPr="0037364C" w:rsidRDefault="007945CD" w:rsidP="0017183C">
                          <w:pPr>
                            <w:pStyle w:val="Titulodocumento"/>
                            <w:numPr>
                              <w:ilvl w:val="0"/>
                              <w:numId w:val="13"/>
                            </w:numPr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Utilizar compilador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14E8DF03" w:rsidR="0069452F" w:rsidRPr="00264EFB" w:rsidRDefault="0017183C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  <w:proofErr w:type="spellEnd"/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14E8DF03" w:rsidR="0069452F" w:rsidRPr="00264EFB" w:rsidRDefault="0017183C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  <w:proofErr w:type="spellEnd"/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0777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0777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0777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0777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0777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0BBF7FF9" w:rsidR="00FB4266" w:rsidRDefault="00BE7BB0" w:rsidP="005C2EBC">
      <w:pPr>
        <w:pStyle w:val="EPP-Titulo"/>
        <w:rPr>
          <w:sz w:val="20"/>
        </w:rPr>
      </w:pPr>
      <w:r>
        <w:lastRenderedPageBreak/>
        <w:t>Utilizar compilador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15B70C64" w:rsidR="00E54AD6" w:rsidRPr="0017183C" w:rsidRDefault="0017183C" w:rsidP="0017183C">
      <w:r>
        <w:t>Permitir que o usuário possa testar algoritmos através do compilador.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3F80A881" w14:textId="5DFC32D5" w:rsidR="0049456B" w:rsidRDefault="0017183C" w:rsidP="008D097B">
      <w:r>
        <w:t>Leitor</w:t>
      </w:r>
    </w:p>
    <w:p w14:paraId="2F36F49D" w14:textId="707BEFD5" w:rsidR="0017183C" w:rsidRDefault="0017183C" w:rsidP="008D097B">
      <w:r>
        <w:t>Editor</w:t>
      </w:r>
    </w:p>
    <w:p w14:paraId="45CD207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0DC68710" w14:textId="1153615F" w:rsidR="001636B5" w:rsidRPr="0017183C" w:rsidRDefault="0017183C" w:rsidP="008D097B">
      <w:r>
        <w:t>O usuário deve estar logado.</w:t>
      </w:r>
    </w:p>
    <w:p w14:paraId="00779804" w14:textId="447F239E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7688B15E" w14:textId="77777777" w:rsidTr="00304378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304378">
        <w:tc>
          <w:tcPr>
            <w:tcW w:w="4814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304378">
        <w:tc>
          <w:tcPr>
            <w:tcW w:w="4814" w:type="dxa"/>
          </w:tcPr>
          <w:p w14:paraId="56DBCE53" w14:textId="51F4FFBD" w:rsidR="008D76B2" w:rsidRPr="008D097B" w:rsidRDefault="0017183C" w:rsidP="008D76B2">
            <w:r w:rsidRPr="008D097B">
              <w:t>1. O ator insere o script a ser testado.</w:t>
            </w:r>
          </w:p>
        </w:tc>
        <w:tc>
          <w:tcPr>
            <w:tcW w:w="4814" w:type="dxa"/>
          </w:tcPr>
          <w:p w14:paraId="49873113" w14:textId="3FDEBB85" w:rsidR="008D76B2" w:rsidRPr="008D097B" w:rsidRDefault="008D76B2" w:rsidP="008D76B2">
            <w:r w:rsidRPr="008D097B">
              <w:t xml:space="preserve">2. Sistema </w:t>
            </w:r>
            <w:r w:rsidR="0017183C" w:rsidRPr="008D097B">
              <w:t>roda o script e retorna a saída.</w:t>
            </w:r>
          </w:p>
        </w:tc>
      </w:tr>
      <w:tr w:rsidR="008D76B2" w14:paraId="3B846F32" w14:textId="77777777" w:rsidTr="00304378">
        <w:tc>
          <w:tcPr>
            <w:tcW w:w="4814" w:type="dxa"/>
          </w:tcPr>
          <w:p w14:paraId="5EC38060" w14:textId="7CA637EE" w:rsidR="008D76B2" w:rsidRPr="008D097B" w:rsidRDefault="008D76B2" w:rsidP="008D76B2">
            <w:r w:rsidRPr="008D097B">
              <w:t xml:space="preserve">3. Ator visualiza </w:t>
            </w:r>
            <w:r w:rsidR="0017183C" w:rsidRPr="008D097B">
              <w:t>a saída.</w:t>
            </w:r>
          </w:p>
        </w:tc>
        <w:tc>
          <w:tcPr>
            <w:tcW w:w="4814" w:type="dxa"/>
          </w:tcPr>
          <w:p w14:paraId="0D20B9CC" w14:textId="77777777" w:rsidR="008D76B2" w:rsidRPr="008D097B" w:rsidRDefault="008D76B2" w:rsidP="008D76B2"/>
        </w:tc>
      </w:tr>
    </w:tbl>
    <w:p w14:paraId="430EDD12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5D53D966" w14:textId="3F4601C5" w:rsidR="008202EF" w:rsidRDefault="008202EF" w:rsidP="00C06C5D">
      <w:pPr>
        <w:pStyle w:val="EPP-Comentario"/>
      </w:pPr>
    </w:p>
    <w:p w14:paraId="3707D7A8" w14:textId="028E832B" w:rsidR="001C4FD5" w:rsidRDefault="00C06C5D" w:rsidP="008D097B">
      <w:r w:rsidRPr="008D097B">
        <w:rPr>
          <w:b/>
          <w:bCs/>
        </w:rPr>
        <w:t>FA01</w:t>
      </w:r>
      <w:r w:rsidRPr="008D097B">
        <w:t xml:space="preserve"> – O sistema retorna uma mensagem de erro </w:t>
      </w:r>
      <w:r w:rsidR="00093D2B" w:rsidRPr="00093D2B">
        <w:t>(Exibe as informações das regras que não foram atendidas)</w:t>
      </w:r>
      <w:r w:rsidR="00093D2B" w:rsidRPr="00093D2B">
        <w:t xml:space="preserve"> </w:t>
      </w:r>
      <w:r w:rsidRPr="008D097B">
        <w:t xml:space="preserve">pois havia algum comando inválido no script. </w:t>
      </w:r>
      <w:r w:rsidR="001C4FD5">
        <w:t>Devem ser executados os passos do Fluxo Principal novamente.</w:t>
      </w:r>
    </w:p>
    <w:p w14:paraId="03D3C48D" w14:textId="0FBCB0E8" w:rsidR="00FB4266" w:rsidRDefault="00FB4266" w:rsidP="008D097B"/>
    <w:p w14:paraId="6E280925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26282F29" w14:textId="21969C78" w:rsidR="008D097B" w:rsidRDefault="008D097B" w:rsidP="008D097B">
      <w:r w:rsidRPr="00BE7BB0">
        <w:rPr>
          <w:b/>
          <w:bCs/>
        </w:rPr>
        <w:t>RN01</w:t>
      </w:r>
      <w:r>
        <w:t xml:space="preserve"> – Todo o script deve estar na mesma linguagem de programação.</w:t>
      </w:r>
    </w:p>
    <w:p w14:paraId="29FD62B7" w14:textId="2808E16B" w:rsidR="008D097B" w:rsidRDefault="008D097B" w:rsidP="008D097B">
      <w:r w:rsidRPr="00BE7BB0">
        <w:rPr>
          <w:b/>
          <w:bCs/>
        </w:rPr>
        <w:t>RN02</w:t>
      </w:r>
      <w:r>
        <w:t xml:space="preserve"> – Não pode haver comandos inválidos no script.</w:t>
      </w:r>
    </w:p>
    <w:sectPr w:rsidR="008D09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1102" w14:textId="77777777" w:rsidR="00077787" w:rsidRDefault="00077787">
      <w:r>
        <w:separator/>
      </w:r>
    </w:p>
  </w:endnote>
  <w:endnote w:type="continuationSeparator" w:id="0">
    <w:p w14:paraId="61D91D1A" w14:textId="77777777" w:rsidR="00077787" w:rsidRDefault="0007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2603820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77787">
            <w:fldChar w:fldCharType="begin"/>
          </w:r>
          <w:r w:rsidR="00077787">
            <w:instrText xml:space="preserve"> NUMPAGES </w:instrText>
          </w:r>
          <w:r w:rsidR="00077787">
            <w:fldChar w:fldCharType="separate"/>
          </w:r>
          <w:r w:rsidR="005C2EBC">
            <w:rPr>
              <w:noProof/>
            </w:rPr>
            <w:t>4</w:t>
          </w:r>
          <w:r w:rsidR="00077787">
            <w:rPr>
              <w:noProof/>
            </w:rPr>
            <w:fldChar w:fldCharType="end"/>
          </w:r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6E4D4FA2" w:rsidR="00FB4266" w:rsidRDefault="00077787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roofErr w:type="spellStart"/>
              <w:r w:rsidR="0017183C">
                <w:t>GGLearning</w:t>
              </w:r>
              <w:proofErr w:type="spellEnd"/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077787">
      <w:fldChar w:fldCharType="begin"/>
    </w:r>
    <w:r w:rsidR="00077787">
      <w:instrText xml:space="preserve"> DOCPROPERTY  "Versão Modelo"  \* MERGEFORMAT </w:instrText>
    </w:r>
    <w:r w:rsidR="00077787">
      <w:fldChar w:fldCharType="separate"/>
    </w:r>
    <w:r w:rsidR="007945CD">
      <w:t>1</w:t>
    </w:r>
    <w:r w:rsidR="000777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003C" w14:textId="77777777" w:rsidR="00077787" w:rsidRDefault="00077787">
      <w:r>
        <w:separator/>
      </w:r>
    </w:p>
  </w:footnote>
  <w:footnote w:type="continuationSeparator" w:id="0">
    <w:p w14:paraId="56517E19" w14:textId="77777777" w:rsidR="00077787" w:rsidRDefault="00077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4028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502AC894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52A24C48" w:rsidR="00FB4266" w:rsidRDefault="0017183C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Utilizar compilador</w:t>
              </w:r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2F5B7219"/>
    <w:multiLevelType w:val="hybridMultilevel"/>
    <w:tmpl w:val="2C6ECFBA"/>
    <w:lvl w:ilvl="0" w:tplc="4C8264EC">
      <w:start w:val="1"/>
      <w:numFmt w:val="decimalZero"/>
      <w:lvlText w:val="%1-"/>
      <w:lvlJc w:val="left"/>
      <w:pPr>
        <w:ind w:left="1170" w:hanging="8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5"/>
  </w:num>
  <w:num w:numId="2" w16cid:durableId="454258072">
    <w:abstractNumId w:val="6"/>
  </w:num>
  <w:num w:numId="3" w16cid:durableId="475343134">
    <w:abstractNumId w:val="6"/>
  </w:num>
  <w:num w:numId="4" w16cid:durableId="495002619">
    <w:abstractNumId w:val="6"/>
  </w:num>
  <w:num w:numId="5" w16cid:durableId="1731461919">
    <w:abstractNumId w:val="6"/>
  </w:num>
  <w:num w:numId="6" w16cid:durableId="1945503441">
    <w:abstractNumId w:val="3"/>
  </w:num>
  <w:num w:numId="7" w16cid:durableId="1963341518">
    <w:abstractNumId w:val="6"/>
  </w:num>
  <w:num w:numId="8" w16cid:durableId="1586769471">
    <w:abstractNumId w:val="6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4"/>
  </w:num>
  <w:num w:numId="12" w16cid:durableId="1780952937">
    <w:abstractNumId w:val="4"/>
    <w:lvlOverride w:ilvl="0">
      <w:startOverride w:val="1"/>
    </w:lvlOverride>
  </w:num>
  <w:num w:numId="13" w16cid:durableId="4771116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77787"/>
    <w:rsid w:val="00093D2B"/>
    <w:rsid w:val="000C77A8"/>
    <w:rsid w:val="00124BC4"/>
    <w:rsid w:val="001636B5"/>
    <w:rsid w:val="0017183C"/>
    <w:rsid w:val="00185D0C"/>
    <w:rsid w:val="001C4FD5"/>
    <w:rsid w:val="001E0869"/>
    <w:rsid w:val="00204F30"/>
    <w:rsid w:val="00254122"/>
    <w:rsid w:val="00304378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945CD"/>
    <w:rsid w:val="007B08CE"/>
    <w:rsid w:val="007C4737"/>
    <w:rsid w:val="007E6CB5"/>
    <w:rsid w:val="008202EF"/>
    <w:rsid w:val="0082433C"/>
    <w:rsid w:val="00824D94"/>
    <w:rsid w:val="00841EC0"/>
    <w:rsid w:val="008D097B"/>
    <w:rsid w:val="008D76B2"/>
    <w:rsid w:val="008E52A1"/>
    <w:rsid w:val="00924C78"/>
    <w:rsid w:val="00930D6E"/>
    <w:rsid w:val="009405B7"/>
    <w:rsid w:val="009A6367"/>
    <w:rsid w:val="009B0E25"/>
    <w:rsid w:val="009C36D6"/>
    <w:rsid w:val="00A47243"/>
    <w:rsid w:val="00AA73B9"/>
    <w:rsid w:val="00AC5BC3"/>
    <w:rsid w:val="00B03368"/>
    <w:rsid w:val="00B05291"/>
    <w:rsid w:val="00B5102A"/>
    <w:rsid w:val="00BB664B"/>
    <w:rsid w:val="00BD0C39"/>
    <w:rsid w:val="00BE7BB0"/>
    <w:rsid w:val="00C06C5D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777854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777854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777854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58629F"/>
    <w:rsid w:val="005E7562"/>
    <w:rsid w:val="00771FCD"/>
    <w:rsid w:val="00777854"/>
    <w:rsid w:val="00B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14</TotalTime>
  <Pages>4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1408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Utilizar compilador</dc:title>
  <dc:subject/>
  <dc:creator>Admin</dc:creator>
  <cp:lastModifiedBy>Miguel Sbrissa</cp:lastModifiedBy>
  <cp:revision>8</cp:revision>
  <cp:lastPrinted>2005-05-05T18:34:00Z</cp:lastPrinted>
  <dcterms:created xsi:type="dcterms:W3CDTF">2022-05-28T16:28:00Z</dcterms:created>
  <dcterms:modified xsi:type="dcterms:W3CDTF">2022-05-28T17:41:00Z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