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0B72B9"/>
          <w:sz w:val="40"/>
          <w:szCs w:val="40"/>
        </w:rPr>
        <w:t xml:space="preserve">MaSanté — Note de conception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Continuité d'accès au dossier médical : les quatre voies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Auteur : Mathieu · Version 1.0 · Juillet 2026 — étend la règle d'accès au dossier (document Sécurité, chap. 4.4) et complète le CdC v3.1 (Module 2).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1. Le problème : le titulaire absent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carnet de santé familial est protégé par un QR Code dynamique généré depuis l'application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titulaire du compte</w:t>
      </w:r>
      <w:r>
        <w:rPr>
          <w:rFonts w:ascii="Calibri" w:cs="Calibri" w:eastAsia="Calibri" w:hAnsi="Calibri"/>
          <w:sz w:val="22"/>
          <w:szCs w:val="22"/>
        </w:rPr>
        <w:t xml:space="preserve">. Cas concret : le titulaire voyage avec son téléphone ; un membre de la famille resté au domicile tombe malade et se présente à l'hôpital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sans le téléphone du titulaire</w:t>
      </w:r>
      <w:r>
        <w:rPr>
          <w:rFonts w:ascii="Calibri" w:cs="Calibri" w:eastAsia="Calibri" w:hAnsi="Calibri"/>
          <w:sz w:val="22"/>
          <w:szCs w:val="22"/>
        </w:rPr>
        <w:t xml:space="preserve">. Comment le personnel soignant accède-t-il au dossier du membre pour consulter les antécédents et saisir la consultation ?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Principe directeur, inspiré des grands systèmes de santé (DMP France, My Health Record Australie, MyHealthNB Canada)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 système ne doit jamais bloquer les soins, tout en gardant le patient au contrôle de ses données et en traçant chaque accès.</w:t>
      </w:r>
      <w:r>
        <w:rPr>
          <w:rFonts w:ascii="Calibri" w:cs="Calibri" w:eastAsia="Calibri" w:hAnsi="Calibri"/>
          <w:sz w:val="22"/>
          <w:szCs w:val="22"/>
        </w:rPr>
        <w:t xml:space="preserve"> Quatre voies graduées assurent cette continuité ; chacune a son niveau d'exposition des données, ses préconditions et sa trace d'audit.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2. Matrice de continuité d'accès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00"/>
        <w:gridCol w:w="2450"/>
        <w:gridCol w:w="2050"/>
        <w:gridCol w:w="1710"/>
      </w:tblGrid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Voie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Situation couverte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Mécanisme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Données exposées</w:t>
            </w:r>
          </w:p>
        </w:tc>
        <w:tc>
          <w:tcPr>
            <w:tcW w:type="dxa" w:w="1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QR à distance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Titulaire joignable (appel, WhatsApp), où qu'il soit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titulaire génère le QR du membre et transmet la capture d'écran ; scan à l'accueil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du membre, session 30 min</w:t>
            </w:r>
          </w:p>
        </w:tc>
        <w:tc>
          <w:tcPr>
            <w:tcW w:type="dxa" w:w="1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Existant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— aucun développement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Médecin référent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membre consulte son médecin référent désigné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Accès permanent révocable, sans QR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du membre, en continu</w:t>
            </w:r>
          </w:p>
        </w:tc>
        <w:tc>
          <w:tcPr>
            <w:tcW w:type="dxa" w:w="1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Existant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(CdC v3.1)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Délégué de confiance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Adulte du foyer désigné à l'avance par le titulaire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délégué génère lui-même le QR du membre depuis son propre compte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du membre, session 30 min</w:t>
            </w:r>
          </w:p>
        </w:tc>
        <w:tc>
          <w:tcPr>
            <w:tcW w:type="dxa" w:w="1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— chap. 4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Bris de glace (urgence)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Membre inconscient / titulaire injoignable, urgence vitale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Établissement vérifié ouvre le sous-ensemble vital minimal, avec justification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Vital minimal uniquement (chap. 5.2)</w:t>
            </w:r>
          </w:p>
        </w:tc>
        <w:tc>
          <w:tcPr>
            <w:tcW w:type="dxa" w:w="1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Nouveau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— chap. 5</w:t>
            </w:r>
          </w:p>
        </w:tc>
      </w:tr>
    </w:tbl>
    <w:p>
      <w:pPr>
        <w:spacing w:after="20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 aucune voie n'aboutit, le soin est donné sans le carnet : l'établissement saisit la consultation dans son portail et le rattachement au carnet s'effectue lors d'un passage ultérieur avec QR, les données portant leur provenance (added_by = 'etablissement').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3. Voie 1 — Partage du QR à distance (existant)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QR TOTP n'exige pas la présence physique du titulaire : il exige son téléphone. Le flux : le malade (ou l'accueil) appelle le titulaire → celui-ci ouvre MaSanté, franchit le verrou applicatif, génère le QR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 membre concerné</w:t>
      </w:r>
      <w:r>
        <w:rPr>
          <w:rFonts w:ascii="Calibri" w:cs="Calibri" w:eastAsia="Calibri" w:hAnsi="Calibri"/>
          <w:sz w:val="22"/>
          <w:szCs w:val="22"/>
        </w:rPr>
        <w:t xml:space="preserve"> → il envoie la capture d'écran (WhatsApp, SMS) → le malade la présente à l'écran de son propre téléphone → scan par l'agent.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fenêtre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minutes</w:t>
      </w:r>
      <w:r>
        <w:rPr>
          <w:rFonts w:ascii="Calibri" w:cs="Calibri" w:eastAsia="Calibri" w:hAnsi="Calibri"/>
          <w:sz w:val="22"/>
          <w:szCs w:val="22"/>
        </w:rPr>
        <w:t xml:space="preserve"> suffit à une transmission en temps réel ; l'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usage unique</w:t>
      </w:r>
      <w:r>
        <w:rPr>
          <w:rFonts w:ascii="Calibri" w:cs="Calibri" w:eastAsia="Calibri" w:hAnsi="Calibri"/>
          <w:sz w:val="22"/>
          <w:szCs w:val="22"/>
        </w:rPr>
        <w:t xml:space="preserve"> rend la capture inerte après le premier scan.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titulaire reçoit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 push</w:t>
      </w:r>
      <w:r>
        <w:rPr>
          <w:rFonts w:ascii="Calibri" w:cs="Calibri" w:eastAsia="Calibri" w:hAnsi="Calibri"/>
          <w:sz w:val="22"/>
          <w:szCs w:val="22"/>
        </w:rPr>
        <w:t xml:space="preserve"> (qui a scanné, où, quand) et l'accès figure 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journal d'audit</w:t>
      </w:r>
      <w:r>
        <w:rPr>
          <w:rFonts w:ascii="Calibri" w:cs="Calibri" w:eastAsia="Calibri" w:hAnsi="Calibri"/>
          <w:sz w:val="22"/>
          <w:szCs w:val="22"/>
        </w:rPr>
        <w:t xml:space="preserve"> (FT6).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médecin dispose de 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session de 30 minutes</w:t>
      </w:r>
      <w:r>
        <w:rPr>
          <w:rFonts w:ascii="Calibri" w:cs="Calibri" w:eastAsia="Calibri" w:hAnsi="Calibri"/>
          <w:sz w:val="22"/>
          <w:szCs w:val="22"/>
        </w:rPr>
        <w:t xml:space="preserve"> pour consulter et saisir (diagnostic, ordonnance, résultats).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Argument de soutenance : le QR dynamique est plus flexible qu'une carte physique — il se téléporte, mais ne se copie pas.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4. Voie 3 — Délégation d'accès (nouvelle fonctionnalité)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Principe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titulaire désigne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à l'avance</w:t>
      </w:r>
      <w:r>
        <w:rPr>
          <w:rFonts w:ascii="Calibri" w:cs="Calibri" w:eastAsia="Calibri" w:hAnsi="Calibri"/>
          <w:sz w:val="22"/>
          <w:szCs w:val="22"/>
        </w:rPr>
        <w:t xml:space="preserve"> un adulte de confiance (conjoint, grand-parent, tuteur) comme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délégué</w:t>
      </w:r>
      <w:r>
        <w:rPr>
          <w:rFonts w:ascii="Calibri" w:cs="Calibri" w:eastAsia="Calibri" w:hAnsi="Calibri"/>
          <w:sz w:val="22"/>
          <w:szCs w:val="22"/>
        </w:rPr>
        <w:t xml:space="preserve"> sur un ou plusieurs membres du carnet. Le délégué possède son propre compte MaSanté ; il obtient uniquement le droit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générer le QR</w:t>
      </w:r>
      <w:r>
        <w:rPr>
          <w:rFonts w:ascii="Calibri" w:cs="Calibri" w:eastAsia="Calibri" w:hAnsi="Calibri"/>
          <w:sz w:val="22"/>
          <w:szCs w:val="22"/>
        </w:rPr>
        <w:t xml:space="preserve"> des membres délégués — jamais de modifier le carnet ni de gérer le compte du titulaire. Modèle inspiré du « nominated representative » de My Health Record (Australie) et des proches aidants du DMP (France).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Règles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Invitation par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numéro de téléphone</w:t>
      </w:r>
      <w:r>
        <w:rPr>
          <w:rFonts w:ascii="Calibri" w:cs="Calibri" w:eastAsia="Calibri" w:hAnsi="Calibri"/>
          <w:sz w:val="22"/>
          <w:szCs w:val="22"/>
        </w:rPr>
        <w:t xml:space="preserve"> ; le délégué doit accepter depuis son application. Sans acceptation, aucun droit.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délégué doit détenir un compte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 minimum de niveau base</w:t>
      </w:r>
      <w:r>
        <w:rPr>
          <w:rFonts w:ascii="Calibri" w:cs="Calibri" w:eastAsia="Calibri" w:hAnsi="Calibri"/>
          <w:sz w:val="22"/>
          <w:szCs w:val="22"/>
        </w:rPr>
        <w:t xml:space="preserve"> (téléphone vérifié) ; le titulaire doit être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vérifié</w:t>
      </w:r>
      <w:r>
        <w:rPr>
          <w:rFonts w:ascii="Calibri" w:cs="Calibri" w:eastAsia="Calibri" w:hAnsi="Calibri"/>
          <w:sz w:val="22"/>
          <w:szCs w:val="22"/>
        </w:rPr>
        <w:t xml:space="preserve"> (CMU/CNI) pour déléguer — cohérent avec la règle « partager le dossier exige une identité confirmée ».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Révocable à tout moment</w:t>
      </w:r>
      <w:r>
        <w:rPr>
          <w:rFonts w:ascii="Calibri" w:cs="Calibri" w:eastAsia="Calibri" w:hAnsi="Calibri"/>
          <w:sz w:val="22"/>
          <w:szCs w:val="22"/>
        </w:rPr>
        <w:t xml:space="preserve"> par le titulaire, effet immédiat (delegations.revoquee_at).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Chaque QR généré par un délégué est tracé comme tel dans le journal d'audit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notifié au titulaire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délégué est soumis 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verrou applicatif</w:t>
      </w:r>
      <w:r>
        <w:rPr>
          <w:rFonts w:ascii="Calibri" w:cs="Calibri" w:eastAsia="Calibri" w:hAnsi="Calibri"/>
          <w:sz w:val="22"/>
          <w:szCs w:val="22"/>
        </w:rPr>
        <w:t xml:space="preserve"> (biométrie/PIN) avant toute génération de QR.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Table delegations (à ajouter au schéma)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Table: delegations  -- droits de generation QR accordes a un tiers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id                 BIGINT UNSIGNED  PK, AUTO_INC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titulaire_user_id  BIGINT UNSIGNED  FK users.id  ON DELETE CASCADE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delegue_user_id    BIGINT UNSIGNED  FK users.id  ON DELETE CASCADE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membre_id          BIGINT UNSIGNED  FK membres_famille.id  ON DELETE CASCADE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droits             ENUM('qr_generation') NOT NULL DEFAULT 'qr_generation'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invitee_at         TIMESTAMP        NOT NULL   -- envoi de l'invitation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acceptee_at        TIMESTAMP        NULLABLE   -- NULL = pas encore acceptee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revoquee_at        TIMESTAMP        NULLABLE   -- NULL =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created_at / updated_at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(delegue_user_id, membre_id)  -- une seule delegation par couple</w:t>
            </w:r>
          </w:p>
        </w:tc>
      </w:tr>
    </w:tbl>
    <w:p>
      <w:pPr>
        <w:spacing w:after="20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ON DELETE CASCADE conforme à la convention du projet pour les données rattachées. Le champ droits en ENUM laisse la porte ouverte à des droits futurs (lecture seule, etc.) sans nouvelle table.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5. Voie 4 — Mode « bris de glace » (urgence vitale)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Principe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Lorsque le patient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inconscient ou hors d'état de consentir</w:t>
      </w:r>
      <w:r>
        <w:rPr>
          <w:rFonts w:ascii="Calibri" w:cs="Calibri" w:eastAsia="Calibri" w:hAnsi="Calibri"/>
          <w:sz w:val="22"/>
          <w:szCs w:val="22"/>
        </w:rPr>
        <w:t xml:space="preserve"> et que ni le titulaire ni un délégué n'est joignable, un établissement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vérifié</w:t>
      </w:r>
      <w:r>
        <w:rPr>
          <w:rFonts w:ascii="Calibri" w:cs="Calibri" w:eastAsia="Calibri" w:hAnsi="Calibri"/>
          <w:sz w:val="22"/>
          <w:szCs w:val="22"/>
        </w:rPr>
        <w:t xml:space="preserve"> peut ouvrir un accès d'exception au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sous-ensemble vital minimal</w:t>
      </w:r>
      <w:r>
        <w:rPr>
          <w:rFonts w:ascii="Calibri" w:cs="Calibri" w:eastAsia="Calibri" w:hAnsi="Calibri"/>
          <w:sz w:val="22"/>
          <w:szCs w:val="22"/>
        </w:rPr>
        <w:t xml:space="preserve"> du membre — jamais au dossier complet. Mécanisme directement inspiré du « mode bris de glace » du DMP français. La « carte vitale d'urgence » du Module 5 en constitue le périmètre naturel.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Périmètre vital minimal (strictement limité)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Inclus dans le bris de glace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Exclu du bris de glace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Groupe sanguin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Historique complet des consultations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Allergies connues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Documents médicaux importés (F2.10)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Maladies chroniques et traitements en cours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Notes médicales libres (F2.12)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Vaccinations essentielles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Suivi de grossesse détaillé (hors mention d'une grossesse en cours)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Contacts d'urgence du membre (F2.11)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Données des autres membres du carnet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Garde-fous obligatoires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Réservé aux comptes du portail hospitalier avec la permission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urgence.bris_de_glace</w:t>
      </w:r>
      <w:r>
        <w:rPr>
          <w:rFonts w:ascii="Calibri" w:cs="Calibri" w:eastAsia="Calibri" w:hAnsi="Calibri"/>
          <w:sz w:val="22"/>
          <w:szCs w:val="22"/>
        </w:rPr>
        <w:t xml:space="preserve"> (spatie/laravel-permission), attribuée par le gestionnaire aux seuls services d'urgences.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Justification textuelle obligatoire</w:t>
      </w:r>
      <w:r>
        <w:rPr>
          <w:rFonts w:ascii="Calibri" w:cs="Calibri" w:eastAsia="Calibri" w:hAnsi="Calibri"/>
          <w:sz w:val="22"/>
          <w:szCs w:val="22"/>
        </w:rPr>
        <w:t xml:space="preserve"> (motif de l'urgence + élément d'identification du patient : nom, CMU, CNI) avant ouverture.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 immédiate</w:t>
      </w:r>
      <w:r>
        <w:rPr>
          <w:rFonts w:ascii="Calibri" w:cs="Calibri" w:eastAsia="Calibri" w:hAnsi="Calibri"/>
          <w:sz w:val="22"/>
          <w:szCs w:val="22"/>
        </w:rPr>
        <w:t xml:space="preserve"> au titulaire et aux contacts d'urgence (F2.11) : « Accès d'urgence au dossier de [membre] par [établissement] à [heure] ».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Entrée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renforcée</w:t>
      </w:r>
      <w:r>
        <w:rPr>
          <w:rFonts w:ascii="Calibri" w:cs="Calibri" w:eastAsia="Calibri" w:hAnsi="Calibri"/>
          <w:sz w:val="22"/>
          <w:szCs w:val="22"/>
        </w:rPr>
        <w:t xml:space="preserve"> au journal d'audit (FT6, loi n°2013-450) : identité de l'agent, service, motif saisi, données consultées, durée — consultable par le patient.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Session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courte (15 minutes)</w:t>
      </w:r>
      <w:r>
        <w:rPr>
          <w:rFonts w:ascii="Calibri" w:cs="Calibri" w:eastAsia="Calibri" w:hAnsi="Calibri"/>
          <w:sz w:val="22"/>
          <w:szCs w:val="22"/>
        </w:rPr>
        <w:t xml:space="preserve">, lecture seule sur le périmètre vital ; toute saisie de consultation passe par le flux normal du portail (provenance etablissement).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Revue a posteriori</w:t>
      </w:r>
      <w:r>
        <w:rPr>
          <w:rFonts w:ascii="Calibri" w:cs="Calibri" w:eastAsia="Calibri" w:hAnsi="Calibri"/>
          <w:sz w:val="22"/>
          <w:szCs w:val="22"/>
        </w:rPr>
        <w:t xml:space="preserve"> : chaque bris de glace apparaît dans les statistiques de l'admin MaSanté pour détecter les abus (taux anormal par établissement).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Extension de la règle d'accès au dossier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règle du chapitre 4.4 du document Sécurité passe de trois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cinq voies d'accès</w:t>
      </w:r>
      <w:r>
        <w:rPr>
          <w:rFonts w:ascii="Calibri" w:cs="Calibri" w:eastAsia="Calibri" w:hAnsi="Calibri"/>
          <w:sz w:val="22"/>
          <w:szCs w:val="22"/>
        </w:rPr>
        <w:t xml:space="preserve">, toutes tracées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type_acces ENUM(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'qr_scan',        -- QR valide, 30 min (voies 1 et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'referent',       -- medecin referent, permanent revocable (voie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'delegation',     -- QR genere par un delegue (voie 3, trace distincte)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'bris_de_glace',  -- urgence vitale, perimetre minimal, 15 min (voie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'admin'           -- exceptionnel, admin MaSante uniquement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6. Impacts et priorisation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Voies 1 et 2</w:t>
      </w:r>
      <w:r>
        <w:rPr>
          <w:rFonts w:ascii="Calibri" w:cs="Calibri" w:eastAsia="Calibri" w:hAnsi="Calibri"/>
          <w:sz w:val="22"/>
          <w:szCs w:val="22"/>
        </w:rPr>
        <w:t xml:space="preserve"> : aucune modification — à documenter dans le mémoire (chapitre sécurité) comme propriétés déjà acquises de l'architecture.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Voie 3</w:t>
      </w:r>
      <w:r>
        <w:rPr>
          <w:rFonts w:ascii="Calibri" w:cs="Calibri" w:eastAsia="Calibri" w:hAnsi="Calibri"/>
          <w:sz w:val="22"/>
          <w:szCs w:val="22"/>
        </w:rPr>
        <w:t xml:space="preserve"> : table delegations + 4 endpoints (inviter, accepter, révoquer, lister) + écran « Délégués » dans le carnet + contrôle dans QrTokenService. Priorité MOYENNE — après le socle des Modules 1 et 2.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Voie 4</w:t>
      </w:r>
      <w:r>
        <w:rPr>
          <w:rFonts w:ascii="Calibri" w:cs="Calibri" w:eastAsia="Calibri" w:hAnsi="Calibri"/>
          <w:sz w:val="22"/>
          <w:szCs w:val="22"/>
        </w:rPr>
        <w:t xml:space="preserve"> : permission RBAC + endpoint d'accès d'urgence + écran portail + notifications + audit renforcé. Priorité MOYENNE — livrable avec le Module 4 (portail) ou en extension du Module 5.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Les deux nouveautés suivent la méthode du projet : analyse delta contre le CdC v3.1, audit Phase 0 avant tout code, validation Postman/Ngrok puis Expo Go avant clôture.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7. À valider avec le directeur de mémoire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L'introduction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délégation d'accès</w:t>
      </w:r>
      <w:r>
        <w:rPr>
          <w:rFonts w:ascii="Calibri" w:cs="Calibri" w:eastAsia="Calibri" w:hAnsi="Calibri"/>
          <w:sz w:val="22"/>
          <w:szCs w:val="22"/>
        </w:rPr>
        <w:t xml:space="preserve"> (voie 3) : périmètre du droit (génération QR uniquement), exigence de compte vérifié pour le titulaire, table delegations.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L'introduction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 bris de glace</w:t>
      </w:r>
      <w:r>
        <w:rPr>
          <w:rFonts w:ascii="Calibri" w:cs="Calibri" w:eastAsia="Calibri" w:hAnsi="Calibri"/>
          <w:sz w:val="22"/>
          <w:szCs w:val="22"/>
        </w:rPr>
        <w:t xml:space="preserve"> (voie 4) : périmètre vital minimal, garde-fous, durée de session 15 min, et sa conformité à la loi n°2013-450 sur la protection des données personnelles.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passage de la règle d'accès au dossier de 3 à 5 types d'accès tracés.</w:t>
      </w:r>
    </w:p>
    <w:p>
      <w:pPr>
        <w:spacing w:after="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Cette note complète la note « Verrou applicatif » (menace téléphone en main) et la note « Identification » (téléphone + OTP). Ensemble, elles couvrent le triptyque : qui se connecte, qui déverrouille, qui accède au dossier — et alimentent le chapitre sécurité du mémoire.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6"/>
      </w:pBdr>
      <w:tabs>
        <w:tab w:val="right" w:pos="9638"/>
      </w:tabs>
      <w:spacing w:after="120"/>
    </w:pPr>
    <w:r>
      <w:rPr>
        <w:rFonts w:ascii="Calibri" w:cs="Calibri" w:eastAsia="Calibri" w:hAnsi="Calibri"/>
        <w:color w:val="595959"/>
        <w:sz w:val="18"/>
        <w:szCs w:val="18"/>
      </w:rPr>
      <w:t xml:space="preserve">MaSanté — Continuité d'accès au dossier médical</w:t>
    </w:r>
    <w:r>
      <w:rPr>
        <w:rFonts w:ascii="Calibri" w:cs="Calibri" w:eastAsia="Calibri" w:hAnsi="Calibri"/>
        <w:color w:val="595959"/>
        <w:sz w:val="18"/>
        <w:szCs w:val="18"/>
      </w:rPr>
      <w:t xml:space="preserve">	UIYA · IGL L3 ·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2026-07-02T23:10:02.733Z</dcterms:created>
  <dcterms:modified xsi:type="dcterms:W3CDTF">2026-07-02T23:10:02.747Z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