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Calibri" w:cs="Calibri" w:eastAsia="Calibri" w:hAnsi="Calibri"/>
          <w:b/>
          <w:bCs/>
          <w:color w:val="0B72B9"/>
          <w:sz w:val="40"/>
          <w:szCs w:val="40"/>
        </w:rPr>
        <w:t xml:space="preserve">MaSanté — Note de conception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Menace « téléphone en main » : verrou applicatif et récupération durcie</w:t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Auteur : Mathieu · Version 1.0 · Juillet 2026 — complète le document Sécurité (chap. 3 et 9) et la note Identification (téléphone + OTP).</w:t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color w:val="0B72B9"/>
          <w:sz w:val="28"/>
          <w:szCs w:val="28"/>
        </w:rPr>
        <w:t xml:space="preserve">1. Le scénario de menace</w:t>
      </w:r>
    </w:p>
    <w:p>
      <w:pPr>
        <w:spacing w:after="160" w:line="276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Un attaquant obtient le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téléphone déverrouillé</w:t>
      </w:r>
      <w:r>
        <w:rPr>
          <w:rFonts w:ascii="Calibri" w:cs="Calibri" w:eastAsia="Calibri" w:hAnsi="Calibri"/>
          <w:sz w:val="22"/>
          <w:szCs w:val="22"/>
        </w:rPr>
        <w:t xml:space="preserve"> de l'utilisateur (vol, prêt, appareil laissé sans surveillance). L'application MaSanté est installée. En lançant la procédure « Mot de passe oublié », l'attaquant reçoit lui-même le code OTP par SMS sur l'appareil qu'il détient : il peut donc réinitialiser le mot de passe et accéder au compte. Ce scénario, dit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device-in-hand</w:t>
      </w:r>
      <w:r>
        <w:rPr>
          <w:rFonts w:ascii="Calibri" w:cs="Calibri" w:eastAsia="Calibri" w:hAnsi="Calibri"/>
          <w:sz w:val="22"/>
          <w:szCs w:val="22"/>
        </w:rPr>
        <w:t xml:space="preserve">, correspond à la menace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Spoofing (usurpation d'identité)</w:t>
      </w:r>
      <w:r>
        <w:rPr>
          <w:rFonts w:ascii="Calibri" w:cs="Calibri" w:eastAsia="Calibri" w:hAnsi="Calibri"/>
          <w:sz w:val="22"/>
          <w:szCs w:val="22"/>
        </w:rPr>
        <w:t xml:space="preserve"> de la classification STRIDE utilisée dans le document de sécurité.</w:t>
      </w:r>
    </w:p>
    <w:p>
      <w:pPr>
        <w:spacing w:after="160" w:line="276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Constat de conception 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l'OTP par SMS protège contre un attaquant à distance, pas contre un attaquant qui détient physiquement l'appareil.</w:t>
      </w:r>
      <w:r>
        <w:rPr>
          <w:rFonts w:ascii="Calibri" w:cs="Calibri" w:eastAsia="Calibri" w:hAnsi="Calibri"/>
          <w:sz w:val="22"/>
          <w:szCs w:val="22"/>
        </w:rPr>
        <w:t xml:space="preserve"> Aucun grand système (santé, banque, Mobile Money) ne résout ce cas avec l'OTP seul ; tous appliquent une défense en profondeur, c'est-à-dire des barrières successives et indépendantes.</w:t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color w:val="0B72B9"/>
          <w:sz w:val="28"/>
          <w:szCs w:val="28"/>
        </w:rPr>
        <w:t xml:space="preserve">2. Défense en profondeur : les quatre couches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60"/>
        <w:gridCol w:w="5000"/>
      </w:tblGrid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Couche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Barrière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Rôle face au scénario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Verrouillage du téléphone (PIN, biométrie système)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Première barrière, hors du contrôle de MaSanté. On ne s'y fie jamais : l'appareil peut être volé déverrouillé.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Verrou applicatif MaSanté (biométrie ou PIN propre à l'application)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Bloque l'accès aux sections sensibles même si l'application est ouverte. Réponse principale au scénario — détaillée au chapitre 3.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Récupération de mot de passe durcie (OTP + donnée de vérification)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L'OTP ne suffit plus seul pour réinitialiser le mot de passe — chapitre 4.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Couche QR TOTP + journal d'audit (existant)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 partage du dossier médical exige un QR à usage unique ; chaque accès est tracé (FT6, loi n°2013-450). L'exfiltration silencieuse est impossible.</w:t>
            </w:r>
          </w:p>
        </w:tc>
      </w:tr>
    </w:tbl>
    <w:p>
      <w:pPr>
        <w:spacing w:after="80" w:line="276" w:lineRule="auto"/>
        <w:jc w:val="both"/>
      </w:pP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color w:val="0B72B9"/>
          <w:sz w:val="28"/>
          <w:szCs w:val="28"/>
        </w:rPr>
        <w:t xml:space="preserve">3. Couche 2 — Verrou applicatif par empreinte (ou PIN)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3.1 Principe</w:t>
      </w:r>
    </w:p>
    <w:p>
      <w:pPr>
        <w:spacing w:after="160" w:line="276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Un second facteur local, propre à l'application, est exigé avant l'ouverture des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sections sensibles</w:t>
      </w:r>
      <w:r>
        <w:rPr>
          <w:rFonts w:ascii="Calibri" w:cs="Calibri" w:eastAsia="Calibri" w:hAnsi="Calibri"/>
          <w:sz w:val="22"/>
          <w:szCs w:val="22"/>
        </w:rPr>
        <w:t xml:space="preserve"> : biométrie (empreinte digitale ou reconnaissance faciale) via le module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expo-local-authentication</w:t>
      </w:r>
      <w:r>
        <w:rPr>
          <w:rFonts w:ascii="Calibri" w:cs="Calibri" w:eastAsia="Calibri" w:hAnsi="Calibri"/>
          <w:sz w:val="22"/>
          <w:szCs w:val="22"/>
        </w:rPr>
        <w:t xml:space="preserve">, avec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repli sur un PIN applicatif</w:t>
      </w:r>
      <w:r>
        <w:rPr>
          <w:rFonts w:ascii="Calibri" w:cs="Calibri" w:eastAsia="Calibri" w:hAnsi="Calibri"/>
          <w:sz w:val="22"/>
          <w:szCs w:val="22"/>
        </w:rPr>
        <w:t xml:space="preserve"> (4 à 6 chiffres, haché, stocké dans expo-secure-store) pour les téléphones sans capteur biométrique — cas fréquent sur le terrain ivoirien.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3.2 Sections protégées et sections libres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Protégé par le verrou applicatif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Toujours accessible sans verrou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Carnet de santé familial (dossiers des membres)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Triage médical intelligent (Module 1)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Documents médicaux importés (F2.10)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Carte des structures de santé et disponibilités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Notes médicales libres (F2.12)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Bouton SOS — appel du SAMU 185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Suivi de grossesse et maladies chroniques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Alertes épidémiques publiques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Génération du QR Code du carnet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Comparateur de prix des médicaments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Contacts d'urgence des membres (F2.11)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Écran de connexion / inscription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Reçus et historique des rendez-vous (Bloc B)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</w:p>
        </w:tc>
      </w:tr>
    </w:tbl>
    <w:p>
      <w:pPr>
        <w:spacing w:after="200" w:line="276" w:lineRule="auto"/>
        <w:jc w:val="both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Décision de conception défendable en soutenance : en urgence vitale, le SOS et le triage ne doivent jamais être bloqués par une barrière de sécurité. Le verrou ne protège que ce qui expose des données médicales personnelles.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3.3 Comportement du verrou</w:t>
      </w:r>
    </w:p>
    <w:p>
      <w:pPr>
        <w:pStyle w:val="ListParagraph"/>
        <w:numPr>
          <w:ilvl w:val="0"/>
          <w:numId w:val="2"/>
        </w:numPr>
        <w:spacing w:after="100" w:line="276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Déclenchement à chaque ouverture d'une section sensible, puis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période de grâce de 2 minutes</w:t>
      </w:r>
      <w:r>
        <w:rPr>
          <w:rFonts w:ascii="Calibri" w:cs="Calibri" w:eastAsia="Calibri" w:hAnsi="Calibri"/>
          <w:sz w:val="22"/>
          <w:szCs w:val="22"/>
        </w:rPr>
        <w:t xml:space="preserve"> (pas de re-demande pendant la navigation active dans le carnet).</w:t>
      </w:r>
    </w:p>
    <w:p>
      <w:pPr>
        <w:pStyle w:val="ListParagraph"/>
        <w:numPr>
          <w:ilvl w:val="0"/>
          <w:numId w:val="2"/>
        </w:numPr>
        <w:spacing w:after="100" w:line="276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Verrouillage automatique dès que l'application passe en arrière-plan.</w:t>
      </w:r>
    </w:p>
    <w:p>
      <w:pPr>
        <w:pStyle w:val="ListParagraph"/>
        <w:numPr>
          <w:ilvl w:val="0"/>
          <w:numId w:val="2"/>
        </w:numPr>
        <w:spacing w:after="100" w:line="276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PIN applicatif 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 tentatives maximum</w:t>
      </w:r>
      <w:r>
        <w:rPr>
          <w:rFonts w:ascii="Calibri" w:cs="Calibri" w:eastAsia="Calibri" w:hAnsi="Calibri"/>
          <w:sz w:val="22"/>
          <w:szCs w:val="22"/>
        </w:rPr>
        <w:t xml:space="preserve">, puis délai progressif (30 s, 1 min, 5 min) — même logique anti force brute que l'OTP.</w:t>
      </w:r>
    </w:p>
    <w:p>
      <w:pPr>
        <w:pStyle w:val="ListParagraph"/>
        <w:numPr>
          <w:ilvl w:val="0"/>
          <w:numId w:val="2"/>
        </w:numPr>
        <w:spacing w:after="100" w:line="276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Le PIN applicatif est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indépendant du mot de passe du compte</w:t>
      </w:r>
      <w:r>
        <w:rPr>
          <w:rFonts w:ascii="Calibri" w:cs="Calibri" w:eastAsia="Calibri" w:hAnsi="Calibri"/>
          <w:sz w:val="22"/>
          <w:szCs w:val="22"/>
        </w:rPr>
        <w:t xml:space="preserve"> : réinitialiser l'un ne déverrouille pas l'autre.</w:t>
      </w:r>
    </w:p>
    <w:p>
      <w:pPr>
        <w:pStyle w:val="ListParagraph"/>
        <w:numPr>
          <w:ilvl w:val="0"/>
          <w:numId w:val="2"/>
        </w:numPr>
        <w:spacing w:after="100" w:line="276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En cas d'oubli du PIN applicatif : ré-authentification complète (déconnexion + connexion par téléphone + mot de passe).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3.4 Implémentation Expo (extrait)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services/appLock.ts  (Expo SDK 54)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* as LocalAuthentication from 'expo-local-authentication';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import * as SecureStore from 'expo-secure-store';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export async function unlockSensitiveSection(): Promise&lt;boolean&gt;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const hasHardware = await LocalAuthentication.hasHardwareAsync();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const enrolled    = await LocalAuthentication.isEnrolledAsync();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if (hasHardware &amp;&amp; enrolled)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const res = await LocalAuthentication.authenticateAsync({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promptMessage: 'Déverrouillez votre carnet de santé',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fallbackLabel: 'Utiliser le code PIN',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(res.success) return true;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return promptAppPin(); // repli : PIN applicatif haché (expo-secure-store)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200" w:line="276" w:lineRule="auto"/>
        <w:jc w:val="both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Installation : npx expo install expo-local-authentication (conformément à la règle de gestion des versions du projet). Fonctionne dans Expo Go pour les tests sur téléphone physique.</w:t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color w:val="0B72B9"/>
          <w:sz w:val="28"/>
          <w:szCs w:val="28"/>
        </w:rPr>
        <w:t xml:space="preserve">4. Couche 3 — Récupération de mot de passe durcie</w:t>
      </w:r>
    </w:p>
    <w:p>
      <w:pPr>
        <w:spacing w:after="160" w:line="276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procédure « Mot de passe oublié » (codes_otp, but = 'recuperation') exige désormais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l'OTP + une donnée de vérification</w:t>
      </w:r>
      <w:r>
        <w:rPr>
          <w:rFonts w:ascii="Calibri" w:cs="Calibri" w:eastAsia="Calibri" w:hAnsi="Calibri"/>
          <w:sz w:val="22"/>
          <w:szCs w:val="22"/>
        </w:rPr>
        <w:t xml:space="preserve"> que l'attaquant occasionnel ne connaît pas, graduée selon le niveau de compte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Niveau de compte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Preuves exigées pour réinitialiser le mot de passe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Base (téléphone vérifié)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OTP SMS + date de naissance du titulaire (saisie exacte)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Vérifié (CMU ou CNI)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OTP SMS + 4 derniers caractères du numéro CMU ou CNI enregistré</w:t>
            </w:r>
          </w:p>
        </w:tc>
      </w:tr>
    </w:tbl>
    <w:p>
      <w:pPr>
        <w:spacing w:after="80" w:line="276" w:lineRule="auto"/>
        <w:jc w:val="both"/>
      </w:pPr>
    </w:p>
    <w:p>
      <w:pPr>
        <w:pStyle w:val="ListParagraph"/>
        <w:numPr>
          <w:ilvl w:val="0"/>
          <w:numId w:val="2"/>
        </w:numPr>
        <w:spacing w:after="100" w:line="276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Après réinitialisation 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révocation immédiate de tous les refresh tokens</w:t>
      </w:r>
      <w:r>
        <w:rPr>
          <w:rFonts w:ascii="Calibri" w:cs="Calibri" w:eastAsia="Calibri" w:hAnsi="Calibri"/>
          <w:sz w:val="22"/>
          <w:szCs w:val="22"/>
        </w:rPr>
        <w:t xml:space="preserve"> actifs du compte (les sessions volées deviennent inutilisables).</w:t>
      </w:r>
    </w:p>
    <w:p>
      <w:pPr>
        <w:pStyle w:val="ListParagraph"/>
        <w:numPr>
          <w:ilvl w:val="0"/>
          <w:numId w:val="2"/>
        </w:numPr>
        <w:spacing w:after="100" w:line="276" w:lineRule="auto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Notification</w:t>
      </w:r>
      <w:r>
        <w:rPr>
          <w:rFonts w:ascii="Calibri" w:cs="Calibri" w:eastAsia="Calibri" w:hAnsi="Calibri"/>
          <w:sz w:val="22"/>
          <w:szCs w:val="22"/>
        </w:rPr>
        <w:t xml:space="preserve"> par e-mail si renseigné (« Votre mot de passe a été modifié le… ») et inscription de l'événement dans le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journal d'audit</w:t>
      </w:r>
      <w:r>
        <w:rPr>
          <w:rFonts w:ascii="Calibri" w:cs="Calibri" w:eastAsia="Calibri" w:hAnsi="Calibri"/>
          <w:sz w:val="22"/>
          <w:szCs w:val="22"/>
        </w:rPr>
        <w:t xml:space="preserve"> (FT6).</w:t>
      </w:r>
    </w:p>
    <w:p>
      <w:pPr>
        <w:pStyle w:val="ListParagraph"/>
        <w:numPr>
          <w:ilvl w:val="0"/>
          <w:numId w:val="2"/>
        </w:numPr>
        <w:spacing w:after="100" w:line="276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Réponse de l'API identique que le numéro existe ou non, pour empêcher l'énumération des comptes.</w:t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color w:val="0B72B9"/>
          <w:sz w:val="28"/>
          <w:szCs w:val="28"/>
        </w:rPr>
        <w:t xml:space="preserve">5. Ce que voit l'attaquant, couche par couche</w:t>
      </w:r>
    </w:p>
    <w:p>
      <w:pPr>
        <w:spacing w:after="160" w:line="276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Avec l'ensemble du dispositif, un attaquant tenant le téléphone déverrouillé : (1) n'ouvre ni le carnet, ni les documents, ni le suivi de grossesse sans l'empreinte ou le PIN applicatif ; (2) ne peut pas réinitialiser le mot de passe sans la date de naissance ou le fragment CMU/CNI ; (3) ne peut pas partager le dossier à un établissement sans générer un QR tracé dans le journal d'audit ; (4) laisse une trace horodatée de chaque tentative.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On ne peut pas rendre l'attaque impossible ; on la rend coûteuse, bruyante et traçable</w:t>
      </w:r>
      <w:r>
        <w:rPr>
          <w:rFonts w:ascii="Calibri" w:cs="Calibri" w:eastAsia="Calibri" w:hAnsi="Calibri"/>
          <w:sz w:val="22"/>
          <w:szCs w:val="22"/>
        </w:rPr>
        <w:t xml:space="preserve"> — c'est le principe même de la défense en profondeur.</w:t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color w:val="0B72B9"/>
          <w:sz w:val="28"/>
          <w:szCs w:val="28"/>
        </w:rPr>
        <w:t xml:space="preserve">6. À valider avec le directeur de mémoire</w:t>
      </w:r>
    </w:p>
    <w:p>
      <w:pPr>
        <w:pStyle w:val="ListParagraph"/>
        <w:numPr>
          <w:ilvl w:val="0"/>
          <w:numId w:val="2"/>
        </w:numPr>
        <w:spacing w:after="100" w:line="276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L'introduction du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verrou applicatif</w:t>
      </w:r>
      <w:r>
        <w:rPr>
          <w:rFonts w:ascii="Calibri" w:cs="Calibri" w:eastAsia="Calibri" w:hAnsi="Calibri"/>
          <w:sz w:val="22"/>
          <w:szCs w:val="22"/>
        </w:rPr>
        <w:t xml:space="preserve"> (biométrie + PIN de repli) sur les sections sensibles, et la liste exacte des sections protégées (chap. 3.2).</w:t>
      </w:r>
    </w:p>
    <w:p>
      <w:pPr>
        <w:pStyle w:val="ListParagraph"/>
        <w:numPr>
          <w:ilvl w:val="0"/>
          <w:numId w:val="2"/>
        </w:numPr>
        <w:spacing w:after="100" w:line="276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donnée de vérification supplémentaire</w:t>
      </w:r>
      <w:r>
        <w:rPr>
          <w:rFonts w:ascii="Calibri" w:cs="Calibri" w:eastAsia="Calibri" w:hAnsi="Calibri"/>
          <w:sz w:val="22"/>
          <w:szCs w:val="22"/>
        </w:rPr>
        <w:t xml:space="preserve"> exigée lors de la récupération de mot de passe (date de naissance / fragment CMU-CNI).</w:t>
      </w:r>
    </w:p>
    <w:p>
      <w:pPr>
        <w:pStyle w:val="ListParagraph"/>
        <w:numPr>
          <w:ilvl w:val="0"/>
          <w:numId w:val="2"/>
        </w:numPr>
        <w:spacing w:after="100" w:line="276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période de grâce de 2 minutes et la politique de tentatives du PIN applicatif.</w:t>
      </w:r>
    </w:p>
    <w:p>
      <w:pPr>
        <w:spacing w:after="0" w:line="276" w:lineRule="auto"/>
        <w:jc w:val="both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Cette note s'ajoute au lot d'arbitrage authentification déjà en attente (téléphone vs e-mail, durée JWT 15 min, Sanctum vs JWT). Elle alimente le chapitre sécurité du mémoire (menace Spoofing / STRIDE) et la spécification du futur module Authentification.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B72B9" w:sz="6"/>
      </w:pBdr>
      <w:tabs>
        <w:tab w:val="right" w:pos="9638"/>
      </w:tabs>
      <w:spacing w:after="120"/>
    </w:pPr>
    <w:r>
      <w:rPr>
        <w:rFonts w:ascii="Calibri" w:cs="Calibri" w:eastAsia="Calibri" w:hAnsi="Calibri"/>
        <w:color w:val="595959"/>
        <w:sz w:val="18"/>
        <w:szCs w:val="18"/>
      </w:rPr>
      <w:t xml:space="preserve">MaSanté — Verrou applicatif et menace « téléphone en main »</w:t>
    </w:r>
    <w:r>
      <w:rPr>
        <w:rFonts w:ascii="Calibri" w:cs="Calibri" w:eastAsia="Calibri" w:hAnsi="Calibri"/>
        <w:color w:val="595959"/>
        <w:sz w:val="18"/>
        <w:szCs w:val="18"/>
      </w:rPr>
      <w:t xml:space="preserve">	UIYA · IGL L3 · 2025-2026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2026-07-02T22:44:28.430Z</dcterms:created>
  <dcterms:modified xsi:type="dcterms:W3CDTF">2026-07-02T22:44:28.430Z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