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900"/>
      </w:pPr>
    </w:p>
    <w:p>
      <w:pPr>
        <w:jc w:val="center"/>
        <w:spacing w:before="0" w:after="60"/>
      </w:pPr>
      <w:r>
        <w:rPr>
          <w:rFonts w:ascii="Calibri" w:hAnsi="Calibri"/>
          <w:color w:val="1E6BB8"/>
          <w:sz w:val="52"/>
        </w:rPr>
        <w:t xml:space="preserve">MASANTÉ</w:t>
      </w:r>
    </w:p>
    <w:p>
      <w:pPr>
        <w:jc w:val="center"/>
        <w:spacing w:before="0" w:after="500"/>
      </w:pPr>
      <w:r>
        <w:rPr>
          <w:rFonts w:ascii="Calibri" w:hAnsi="Calibri"/>
          <w:color w:val="62768A"/>
          <w:sz w:val="22"/>
        </w:rPr>
        <w:t xml:space="preserve">Plateforme Numérique Nationale de Santé — Côte d'Ivoire</w:t>
      </w:r>
    </w:p>
    <w:p>
      <w:pPr>
        <w:jc w:val="center"/>
        <w:spacing w:before="0" w:after="100"/>
      </w:pPr>
      <w:r>
        <w:rPr>
          <w:rFonts w:ascii="Calibri" w:hAnsi="Calibri"/>
          <w:color w:val="11212E"/>
          <w:sz w:val="40"/>
        </w:rPr>
        <w:t xml:space="preserve">Analyse complète de l'état d'avancement</w:t>
      </w:r>
    </w:p>
    <w:p>
      <w:pPr>
        <w:jc w:val="center"/>
        <w:spacing w:before="0" w:after="400"/>
      </w:pPr>
      <w:r>
        <w:rPr>
          <w:rFonts w:ascii="Calibri" w:hAnsi="Calibri"/>
          <w:color w:val="11212E"/>
          <w:sz w:val="40"/>
        </w:rPr>
        <w:t xml:space="preserve">et inventaire exhaustif du reste à faire</w:t>
      </w:r>
    </w:p>
    <w:p>
      <w:pPr>
        <w:jc w:val="center"/>
        <w:spacing w:before="0" w:after="700"/>
      </w:pPr>
      <w:r>
        <w:rPr>
          <w:rFonts w:ascii="Calibri" w:hAnsi="Calibri"/>
          <w:color w:val="33475A"/>
          <w:sz w:val="21"/>
        </w:rPr>
        <w:t xml:space="preserve">Audit des 14 cahiers des charges (CDC_00 → CDC_13) confronté au code réel</w:t>
      </w:r>
    </w:p>
    <w:tbl>
      <w:tblPr>
        <w:tblW w:w="9640" w:type="dxa"/>
        <w:tblBorders>
          <w:top w:val="single" w:sz="4" w:space="0" w:color="BCD6F0"/>
          <w:left w:val="single" w:sz="4" w:space="0" w:color="BCD6F0"/>
          <w:bottom w:val="single" w:sz="4" w:space="0" w:color="BCD6F0"/>
          <w:right w:val="single" w:sz="4" w:space="0" w:color="BCD6F0"/>
          <w:insideH w:val="single" w:sz="4" w:space="0" w:color="BCD6F0"/>
          <w:insideV w:val="single" w:sz="4" w:space="0" w:color="BCD6F0"/>
        </w:tblBorders>
        <w:tblLayout w:type="fixed"/>
      </w:tblPr>
      <w:tblGrid>
        <w:gridCol w:w="2700"/>
        <w:gridCol w:w="6940"/>
      </w:tblGrid>
      <w:tr>
        <w:trPr>
          <w:cantSplit/>
        </w:trPr>
        <w:tc>
          <w:tcPr>
            <w:tcW w:w="2700" w:type="dxa"/>
            <w:shd w:val="clear" w:fill="F2F8FD"/>
            <w:vAlign w:val="center"/>
            <w:tcMar>
              <w:top w:w="60" w:type="dxa"/>
              <w:bottom w:w="60" w:type="dxa"/>
              <w:left w:w="90" w:type="dxa"/>
              <w:right w:w="90" w:type="dxa"/>
            </w:tcMar>
          </w:tcPr>
          <w:p>
            <w:pPr>
              <w:spacing w:before="20" w:after="20"/>
            </w:pPr>
            <w:r>
              <w:rPr>
                <w:rFonts w:ascii="Calibri" w:hAnsi="Calibri"/>
                <w:color w:val="11212E"/>
                <w:sz w:val="19"/>
              </w:rPr>
              <w:t xml:space="preserve">Date de l'audit</w:t>
            </w:r>
          </w:p>
        </w:tc>
        <w:tc>
          <w:tcPr>
            <w:tcW w:w="6940" w:type="dxa"/>
            <w:shd w:val="clear" w:fill="F2F8FD"/>
            <w:vAlign w:val="center"/>
            <w:tcMar>
              <w:top w:w="60" w:type="dxa"/>
              <w:bottom w:w="60" w:type="dxa"/>
              <w:left w:w="90" w:type="dxa"/>
              <w:right w:w="90" w:type="dxa"/>
            </w:tcMar>
          </w:tcPr>
          <w:p>
            <w:pPr>
              <w:spacing w:before="20" w:after="20"/>
            </w:pPr>
            <w:r>
              <w:rPr>
                <w:rFonts w:ascii="Calibri" w:hAnsi="Calibri"/>
                <w:color w:val="11212E"/>
                <w:sz w:val="19"/>
              </w:rPr>
              <w:t xml:space="preserve">10/08/2026</w:t>
            </w:r>
          </w:p>
        </w:tc>
      </w:tr>
      <w:tr>
        <w:trPr>
          <w:cantSplit/>
        </w:trPr>
        <w:tc>
          <w:tcPr>
            <w:tcW w:w="2700" w:type="dxa"/>
            <w:vAlign w:val="center"/>
            <w:tcMar>
              <w:top w:w="60" w:type="dxa"/>
              <w:bottom w:w="60" w:type="dxa"/>
              <w:left w:w="90" w:type="dxa"/>
              <w:right w:w="90" w:type="dxa"/>
            </w:tcMar>
          </w:tcPr>
          <w:p>
            <w:pPr>
              <w:spacing w:before="20" w:after="20"/>
            </w:pPr>
            <w:r>
              <w:rPr>
                <w:rFonts w:ascii="Calibri" w:hAnsi="Calibri"/>
                <w:color w:val="11212E"/>
                <w:sz w:val="19"/>
              </w:rPr>
              <w:t xml:space="preserve">Branche</w:t>
            </w:r>
          </w:p>
        </w:tc>
        <w:tc>
          <w:tcPr>
            <w:tcW w:w="6940" w:type="dxa"/>
            <w:vAlign w:val="center"/>
            <w:tcMar>
              <w:top w:w="60" w:type="dxa"/>
              <w:bottom w:w="60" w:type="dxa"/>
              <w:left w:w="90" w:type="dxa"/>
              <w:right w:w="90" w:type="dxa"/>
            </w:tcMar>
          </w:tcPr>
          <w:p>
            <w:pPr>
              <w:spacing w:before="20" w:after="20"/>
            </w:pPr>
            <w:r>
              <w:rPr>
                <w:rFonts w:ascii="Calibri" w:hAnsi="Calibri"/>
                <w:color w:val="11212E"/>
                <w:sz w:val="19"/>
              </w:rPr>
              <w:t xml:space="preserve">feat/masante-p0-socle</w:t>
            </w:r>
          </w:p>
        </w:tc>
      </w:tr>
      <w:tr>
        <w:trPr>
          <w:cantSplit/>
        </w:trPr>
        <w:tc>
          <w:tcPr>
            <w:tcW w:w="2700" w:type="dxa"/>
            <w:shd w:val="clear" w:fill="F2F8FD"/>
            <w:vAlign w:val="center"/>
            <w:tcMar>
              <w:top w:w="60" w:type="dxa"/>
              <w:bottom w:w="60" w:type="dxa"/>
              <w:left w:w="90" w:type="dxa"/>
              <w:right w:w="90" w:type="dxa"/>
            </w:tcMar>
          </w:tcPr>
          <w:p>
            <w:pPr>
              <w:spacing w:before="20" w:after="20"/>
            </w:pPr>
            <w:r>
              <w:rPr>
                <w:rFonts w:ascii="Calibri" w:hAnsi="Calibri"/>
                <w:color w:val="11212E"/>
                <w:sz w:val="19"/>
              </w:rPr>
              <w:t xml:space="preserve">Corpus analysé</w:t>
            </w:r>
          </w:p>
        </w:tc>
        <w:tc>
          <w:tcPr>
            <w:tcW w:w="6940" w:type="dxa"/>
            <w:shd w:val="clear" w:fill="F2F8FD"/>
            <w:vAlign w:val="center"/>
            <w:tcMar>
              <w:top w:w="60" w:type="dxa"/>
              <w:bottom w:w="60" w:type="dxa"/>
              <w:left w:w="90" w:type="dxa"/>
              <w:right w:w="90" w:type="dxa"/>
            </w:tcMar>
          </w:tcPr>
          <w:p>
            <w:pPr>
              <w:spacing w:before="20" w:after="20"/>
            </w:pPr>
            <w:r>
              <w:rPr>
                <w:rFonts w:ascii="Calibri" w:hAnsi="Calibri"/>
                <w:color w:val="11212E"/>
                <w:sz w:val="19"/>
              </w:rPr>
              <w:t xml:space="preserve">14 cahiers des charges — 4 302 lignes</w:t>
            </w:r>
          </w:p>
        </w:tc>
      </w:tr>
      <w:tr>
        <w:trPr>
          <w:cantSplit/>
        </w:trPr>
        <w:tc>
          <w:tcPr>
            <w:tcW w:w="2700" w:type="dxa"/>
            <w:vAlign w:val="center"/>
            <w:tcMar>
              <w:top w:w="60" w:type="dxa"/>
              <w:bottom w:w="60" w:type="dxa"/>
              <w:left w:w="90" w:type="dxa"/>
              <w:right w:w="90" w:type="dxa"/>
            </w:tcMar>
          </w:tcPr>
          <w:p>
            <w:pPr>
              <w:spacing w:before="20" w:after="20"/>
            </w:pPr>
            <w:r>
              <w:rPr>
                <w:rFonts w:ascii="Calibri" w:hAnsi="Calibri"/>
                <w:color w:val="11212E"/>
                <w:sz w:val="19"/>
              </w:rPr>
              <w:t xml:space="preserve">Code audité</w:t>
            </w:r>
          </w:p>
        </w:tc>
        <w:tc>
          <w:tcPr>
            <w:tcW w:w="6940" w:type="dxa"/>
            <w:vAlign w:val="center"/>
            <w:tcMar>
              <w:top w:w="60" w:type="dxa"/>
              <w:bottom w:w="60" w:type="dxa"/>
              <w:left w:w="90" w:type="dxa"/>
              <w:right w:w="90" w:type="dxa"/>
            </w:tcMar>
          </w:tcPr>
          <w:p>
            <w:pPr>
              <w:spacing w:before="20" w:after="20"/>
            </w:pPr>
            <w:r>
              <w:rPr>
                <w:rFonts w:ascii="Calibri" w:hAnsi="Calibri"/>
                <w:color w:val="11212E"/>
                <w:sz w:val="19"/>
              </w:rPr>
              <w:t xml:space="preserve">62 migrations Laravel · 16 migrations Flyway · 354 classes Java · 84 routes API · 52 écrans mobile · 22 routes web</w:t>
            </w:r>
          </w:p>
        </w:tc>
      </w:tr>
      <w:tr>
        <w:trPr>
          <w:cantSplit/>
        </w:trPr>
        <w:tc>
          <w:tcPr>
            <w:tcW w:w="2700" w:type="dxa"/>
            <w:shd w:val="clear" w:fill="F2F8FD"/>
            <w:vAlign w:val="center"/>
            <w:tcMar>
              <w:top w:w="60" w:type="dxa"/>
              <w:bottom w:w="60" w:type="dxa"/>
              <w:left w:w="90" w:type="dxa"/>
              <w:right w:w="90" w:type="dxa"/>
            </w:tcMar>
          </w:tcPr>
          <w:p>
            <w:pPr>
              <w:spacing w:before="20" w:after="20"/>
            </w:pPr>
            <w:r>
              <w:rPr>
                <w:rFonts w:ascii="Calibri" w:hAnsi="Calibri"/>
                <w:color w:val="11212E"/>
                <w:sz w:val="19"/>
              </w:rPr>
              <w:t xml:space="preserve">Couverture globale estimée</w:t>
            </w:r>
          </w:p>
        </w:tc>
        <w:tc>
          <w:tcPr>
            <w:tcW w:w="6940" w:type="dxa"/>
            <w:shd w:val="clear" w:fill="F2F8FD"/>
            <w:vAlign w:val="center"/>
            <w:tcMar>
              <w:top w:w="60" w:type="dxa"/>
              <w:bottom w:w="60" w:type="dxa"/>
              <w:left w:w="90" w:type="dxa"/>
              <w:right w:w="90" w:type="dxa"/>
            </w:tcMar>
          </w:tcPr>
          <w:p>
            <w:pPr>
              <w:spacing w:before="20" w:after="20"/>
            </w:pPr>
            <w:r>
              <w:rPr>
                <w:rFonts w:ascii="Calibri" w:hAnsi="Calibri"/>
                <w:color w:val="11212E"/>
                <w:sz w:val="19"/>
              </w:rPr>
              <w:t xml:space="preserve">≈ 30 % du corpus livré</w:t>
            </w:r>
          </w:p>
        </w:tc>
      </w:tr>
    </w:tbl>
    <w:p>
      <w:pPr>
        <w:spacing w:before="0" w:after="100"/>
      </w:pPr>
    </w:p>
    <w:p>
      <w:r>
        <w:br w:type="page"/>
      </w:r>
    </w:p>
    <w:p>
      <w:pPr>
        <w:pStyle w:val="Heading1"/>
        <w:keepNext/>
        <w:spacing w:before="400" w:after="120"/>
      </w:pPr>
      <w:r>
        <w:rPr>
          <w:b/>
          <w:color w:val="1E6BB8"/>
          <w:sz w:val="32"/>
        </w:rPr>
        <w:t xml:space="preserve">Sommaire</w:t>
      </w:r>
    </w:p>
    <w:p>
      <w:pPr>
        <w:spacing w:before="0" w:after="160"/>
      </w:pPr>
      <w:r>
        <w:rPr>
          <w:rFonts w:ascii="Calibri" w:hAnsi="Calibri"/>
          <w:color w:val="62768A"/>
          <w:sz w:val="18"/>
        </w:rPr>
        <w:t xml:space="preserve">Sommaire automatique — dans Word : clic droit sur le champ ci-dessous → « Mettre à jour les champs » pour le générer.</w:t>
      </w:r>
    </w:p>
    <w:p>
      <w:pPr>
        <w:spacing w:after="120"/>
      </w:pPr>
      <w:r>
        <w:fldChar w:fldCharType="begin"/>
      </w:r>
      <w:r>
        <w:instrText xml:space="preserve"> TOC \o "1-3" \h \z \u </w:instrText>
      </w:r>
      <w:r>
        <w:fldChar w:fldCharType="separate"/>
      </w:r>
      <w:r>
        <w:rPr>
          <w:color w:val="62768A"/>
          <w:sz w:val="20"/>
        </w:rPr>
        <w:t>Clic droit ici puis « Mettre à jour les champs ».</w:t>
      </w:r>
      <w:r>
        <w:fldChar w:fldCharType="end"/>
      </w:r>
    </w:p>
    <w:p>
      <w:r>
        <w:br w:type="page"/>
      </w:r>
    </w:p>
    <w:p>
      <w:pPr>
        <w:pStyle w:val="Heading1"/>
        <w:keepNext/>
        <w:spacing w:before="400" w:after="120"/>
      </w:pPr>
      <w:r>
        <w:rPr>
          <w:b/>
          <w:color w:val="1E6BB8"/>
          <w:sz w:val="32"/>
        </w:rPr>
        <w:t xml:space="preserve">Partie 1 — Où nous sommes</w:t>
      </w:r>
    </w:p>
    <w:p>
      <w:pPr>
        <w:spacing w:before="0" w:after="200"/>
      </w:pPr>
      <w:r>
        <w:rPr>
          <w:rFonts w:ascii="Calibri" w:hAnsi="Calibri"/>
          <w:color w:val="33475A"/>
          <w:sz w:val="20"/>
        </w:rPr>
        <w:t xml:space="preserve">Cette partie ne reprend pas les déclarations du fichier de suivi : elle rend compte de ce qui a été effectivement lu dans le dépôt (migrations, routes, contrôleurs, adaptateurs, écrans).</w:t>
      </w:r>
    </w:p>
    <w:p>
      <w:pPr>
        <w:pStyle w:val="Heading2"/>
        <w:keepNext/>
        <w:spacing w:before="320" w:after="120"/>
      </w:pPr>
      <w:r>
        <w:rPr>
          <w:b/>
          <w:color w:val="1E6BB8"/>
          <w:sz w:val="26"/>
        </w:rPr>
        <w:t xml:space="preserve">1.1 Ce qui est validé G5</w:t>
      </w:r>
    </w:p>
    <w:tbl>
      <w:tblPr>
        <w:tblW w:w="9640" w:type="dxa"/>
        <w:tblBorders>
          <w:top w:val="single" w:sz="4" w:space="0" w:color="BCD6F0"/>
          <w:left w:val="single" w:sz="4" w:space="0" w:color="BCD6F0"/>
          <w:bottom w:val="single" w:sz="4" w:space="0" w:color="BCD6F0"/>
          <w:right w:val="single" w:sz="4" w:space="0" w:color="BCD6F0"/>
          <w:insideH w:val="single" w:sz="4" w:space="0" w:color="BCD6F0"/>
          <w:insideV w:val="single" w:sz="4" w:space="0" w:color="BCD6F0"/>
        </w:tblBorders>
        <w:tblLayout w:type="fixed"/>
      </w:tblPr>
      <w:tblGrid>
        <w:gridCol w:w="2050"/>
        <w:gridCol w:w="7590"/>
      </w:tblGrid>
      <w:tr>
        <w:trPr>
          <w:tblHeader/>
          <w:cantSplit/>
        </w:trPr>
        <w:tc>
          <w:tcPr>
            <w:tcW w:w="205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Module</w:t>
            </w:r>
          </w:p>
        </w:tc>
        <w:tc>
          <w:tcPr>
            <w:tcW w:w="759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Périmètre réellement livré</w:t>
            </w:r>
          </w:p>
        </w:tc>
      </w:tr>
      <w:tr>
        <w:trPr>
          <w:cantSplit/>
        </w:trPr>
        <w:tc>
          <w:tcPr>
            <w:tcW w:w="2050" w:type="dxa"/>
            <w:vAlign w:val="center"/>
            <w:tcMar>
              <w:top w:w="60" w:type="dxa"/>
              <w:bottom w:w="60" w:type="dxa"/>
              <w:left w:w="90" w:type="dxa"/>
              <w:right w:w="90" w:type="dxa"/>
            </w:tcMar>
          </w:tcPr>
          <w:p>
            <w:pPr>
              <w:spacing w:before="20" w:after="20"/>
            </w:pPr>
            <w:r>
              <w:rPr>
                <w:rFonts w:ascii="Calibri" w:hAnsi="Calibri"/>
                <w:color w:val="11212E"/>
                <w:sz w:val="18"/>
              </w:rPr>
              <w:t xml:space="preserve">P0 — Socle</w:t>
            </w:r>
          </w:p>
        </w:tc>
        <w:tc>
          <w:tcPr>
            <w:tcW w:w="7590" w:type="dxa"/>
            <w:vAlign w:val="center"/>
            <w:tcMar>
              <w:top w:w="60" w:type="dxa"/>
              <w:bottom w:w="60" w:type="dxa"/>
              <w:left w:w="90" w:type="dxa"/>
              <w:right w:w="90" w:type="dxa"/>
            </w:tcMar>
          </w:tcPr>
          <w:p>
            <w:pPr>
              <w:spacing w:before="20" w:after="20"/>
            </w:pPr>
            <w:r>
              <w:rPr>
                <w:rFonts w:ascii="Calibri" w:hAnsi="Calibri"/>
                <w:color w:val="11212E"/>
                <w:sz w:val="18"/>
              </w:rPr>
              <w:t xml:space="preserve">Monorepo pnpm, @masante/shared (tokens / enums / Zod / i18n), Expo SDK 54, Next.js 15</w:t>
            </w:r>
          </w:p>
        </w:tc>
      </w:tr>
      <w:tr>
        <w:trPr>
          <w:cantSplit/>
        </w:trPr>
        <w:tc>
          <w:tcPr>
            <w:tcW w:w="205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P1 — Identité</w:t>
            </w:r>
          </w:p>
        </w:tc>
        <w:tc>
          <w:tcPr>
            <w:tcW w:w="759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RBAC 11 rôles (spatie), MFA TOTP « prêt à activer », portail web login + MFA</w:t>
            </w:r>
          </w:p>
        </w:tc>
      </w:tr>
      <w:tr>
        <w:trPr>
          <w:cantSplit/>
        </w:trPr>
        <w:tc>
          <w:tcPr>
            <w:tcW w:w="2050" w:type="dxa"/>
            <w:vAlign w:val="center"/>
            <w:tcMar>
              <w:top w:w="60" w:type="dxa"/>
              <w:bottom w:w="60" w:type="dxa"/>
              <w:left w:w="90" w:type="dxa"/>
              <w:right w:w="90" w:type="dxa"/>
            </w:tcMar>
          </w:tcPr>
          <w:p>
            <w:pPr>
              <w:spacing w:before="20" w:after="20"/>
            </w:pPr>
            <w:r>
              <w:rPr>
                <w:rFonts w:ascii="Calibri" w:hAnsi="Calibri"/>
                <w:color w:val="11212E"/>
                <w:sz w:val="18"/>
              </w:rPr>
              <w:t xml:space="preserve">P2 — Dossier médical</w:t>
            </w:r>
          </w:p>
        </w:tc>
        <w:tc>
          <w:tcPr>
            <w:tcW w:w="7590" w:type="dxa"/>
            <w:vAlign w:val="center"/>
            <w:tcMar>
              <w:top w:w="60" w:type="dxa"/>
              <w:bottom w:w="60" w:type="dxa"/>
              <w:left w:w="90" w:type="dxa"/>
              <w:right w:w="90" w:type="dxa"/>
            </w:tcMar>
          </w:tcPr>
          <w:p>
            <w:pPr>
              <w:spacing w:before="20" w:after="20"/>
            </w:pPr>
            <w:r>
              <w:rPr>
                <w:rFonts w:ascii="Calibri" w:hAnsi="Calibri"/>
                <w:color w:val="11212E"/>
                <w:sz w:val="18"/>
              </w:rPr>
              <w:t xml:space="preserve">Lecture + cache chiffré AES-256 sur expo-sqlite, fonctionnel hors ligne</w:t>
            </w:r>
          </w:p>
        </w:tc>
      </w:tr>
      <w:tr>
        <w:trPr>
          <w:cantSplit/>
        </w:trPr>
        <w:tc>
          <w:tcPr>
            <w:tcW w:w="205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P3 — Annuaire</w:t>
            </w:r>
          </w:p>
        </w:tc>
        <w:tc>
          <w:tcPr>
            <w:tcW w:w="759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Recherche établissements / médecins, fiches, carte OSM, hors ligne</w:t>
            </w:r>
          </w:p>
        </w:tc>
      </w:tr>
      <w:tr>
        <w:trPr>
          <w:cantSplit/>
        </w:trPr>
        <w:tc>
          <w:tcPr>
            <w:tcW w:w="2050" w:type="dxa"/>
            <w:vAlign w:val="center"/>
            <w:tcMar>
              <w:top w:w="60" w:type="dxa"/>
              <w:bottom w:w="60" w:type="dxa"/>
              <w:left w:w="90" w:type="dxa"/>
              <w:right w:w="90" w:type="dxa"/>
            </w:tcMar>
          </w:tcPr>
          <w:p>
            <w:pPr>
              <w:spacing w:before="20" w:after="20"/>
            </w:pPr>
            <w:r>
              <w:rPr>
                <w:rFonts w:ascii="Calibri" w:hAnsi="Calibri"/>
                <w:color w:val="11212E"/>
                <w:sz w:val="18"/>
              </w:rPr>
              <w:t xml:space="preserve">P4 — Rendez-vous</w:t>
            </w:r>
          </w:p>
        </w:tc>
        <w:tc>
          <w:tcPr>
            <w:tcW w:w="7590" w:type="dxa"/>
            <w:vAlign w:val="center"/>
            <w:tcMar>
              <w:top w:w="60" w:type="dxa"/>
              <w:bottom w:w="60" w:type="dxa"/>
              <w:left w:w="90" w:type="dxa"/>
              <w:right w:w="90" w:type="dxa"/>
            </w:tcMar>
          </w:tcPr>
          <w:p>
            <w:pPr>
              <w:spacing w:before="20" w:after="20"/>
            </w:pPr>
            <w:r>
              <w:rPr>
                <w:rFonts w:ascii="Calibri" w:hAnsi="Calibri"/>
                <w:color w:val="11212E"/>
                <w:sz w:val="18"/>
              </w:rPr>
              <w:t xml:space="preserve">Workflow de validation à deux étapes complet (mobile + portail Next)</w:t>
            </w:r>
          </w:p>
        </w:tc>
      </w:tr>
      <w:tr>
        <w:trPr>
          <w:cantSplit/>
        </w:trPr>
        <w:tc>
          <w:tcPr>
            <w:tcW w:w="205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P5 — Paiement</w:t>
            </w:r>
          </w:p>
        </w:tc>
        <w:tc>
          <w:tcPr>
            <w:tcW w:w="759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13 sous-incréments : socle OCP, facturation, avoir / versionnage / signature, Wallet en double écriture, sécurité PIN-OTP-limites, fraude wallet, cashback, auditeur d'intégrité, cartes bancaires, mandats récurrents, canal de notification Outbox, reversements §11 (a / b-1 / b-2 / c)</w:t>
            </w:r>
          </w:p>
        </w:tc>
      </w:tr>
      <w:tr>
        <w:trPr>
          <w:cantSplit/>
        </w:trPr>
        <w:tc>
          <w:tcPr>
            <w:tcW w:w="2050" w:type="dxa"/>
            <w:vAlign w:val="center"/>
            <w:tcMar>
              <w:top w:w="60" w:type="dxa"/>
              <w:bottom w:w="60" w:type="dxa"/>
              <w:left w:w="90" w:type="dxa"/>
              <w:right w:w="90" w:type="dxa"/>
            </w:tcMar>
          </w:tcPr>
          <w:p>
            <w:pPr>
              <w:spacing w:before="20" w:after="20"/>
            </w:pPr>
            <w:r>
              <w:rPr>
                <w:rFonts w:ascii="Calibri" w:hAnsi="Calibri"/>
                <w:color w:val="11212E"/>
                <w:sz w:val="18"/>
              </w:rPr>
              <w:t xml:space="preserve">Fraude IA</w:t>
            </w:r>
          </w:p>
        </w:tc>
        <w:tc>
          <w:tcPr>
            <w:tcW w:w="7590" w:type="dxa"/>
            <w:vAlign w:val="center"/>
            <w:tcMar>
              <w:top w:w="60" w:type="dxa"/>
              <w:bottom w:w="60" w:type="dxa"/>
              <w:left w:w="90" w:type="dxa"/>
              <w:right w:w="90" w:type="dxa"/>
            </w:tcMar>
          </w:tcPr>
          <w:p>
            <w:pPr>
              <w:spacing w:before="20" w:after="20"/>
            </w:pPr>
            <w:r>
              <w:rPr>
                <w:rFonts w:ascii="Calibri" w:hAnsi="Calibri"/>
                <w:color w:val="11212E"/>
                <w:sz w:val="18"/>
              </w:rPr>
              <w:t xml:space="preserve">fraud-detection-service Python + extraction réelle + routage d'alerte + écran admin Next</w:t>
            </w:r>
          </w:p>
        </w:tc>
      </w:tr>
    </w:tbl>
    <w:p>
      <w:pPr>
        <w:spacing w:before="0" w:after="100"/>
      </w:pPr>
    </w:p>
    <w:p>
      <w:pPr>
        <w:pStyle w:val="Heading2"/>
        <w:keepNext/>
        <w:spacing w:before="320" w:after="120"/>
      </w:pPr>
      <w:r>
        <w:rPr>
          <w:b/>
          <w:color w:val="1E6BB8"/>
          <w:sz w:val="26"/>
        </w:rPr>
        <w:t xml:space="preserve">1.2 Le constat central de l'audit</w:t>
      </w:r>
    </w:p>
    <w:p>
      <w:pPr>
        <w:spacing w:before="0" w:after="160"/>
      </w:pPr>
      <w:r>
        <w:rPr>
          <w:rFonts w:ascii="Calibri" w:hAnsi="Calibri"/>
          <w:color w:val="11212E"/>
          <w:sz w:val="20"/>
        </w:rPr>
        <w:t xml:space="preserve">Le projet est </w:t>
      </w:r>
      <w:r>
        <w:rPr>
          <w:rFonts w:ascii="Calibri" w:hAnsi="Calibri"/>
          <w:b/>
          <w:color w:val="11212E"/>
          <w:sz w:val="20"/>
        </w:rPr>
        <w:t xml:space="preserve">très profond sur un axe étroit</w:t>
      </w:r>
      <w:r>
        <w:rPr>
          <w:rFonts w:ascii="Calibri" w:hAnsi="Calibri"/>
          <w:color w:val="11212E"/>
          <w:sz w:val="20"/>
        </w:rPr>
        <w:t xml:space="preserve">. Le domaine Paiement (CDC_06) est traité à un niveau quasi industriel — comptabilité en partie double, validation à quatre yeux, frontière PCI, anti-rejeu, rapprochement à deux sources. Pendant ce temps, les fondations que le corpus impose comme préalables ne sont pas posées.</w:t>
      </w:r>
    </w:p>
    <w:tbl>
      <w:tblPr>
        <w:tblW w:w="9640" w:type="dxa"/>
        <w:tblBorders>
          <w:top w:val="single" w:sz="4" w:space="0" w:color="BCD6F0"/>
          <w:left w:val="single" w:sz="4" w:space="0" w:color="BCD6F0"/>
          <w:bottom w:val="single" w:sz="4" w:space="0" w:color="BCD6F0"/>
          <w:right w:val="single" w:sz="4" w:space="0" w:color="BCD6F0"/>
          <w:insideH w:val="single" w:sz="4" w:space="0" w:color="BCD6F0"/>
          <w:insideV w:val="single" w:sz="4" w:space="0" w:color="BCD6F0"/>
        </w:tblBorders>
        <w:tblLayout w:type="fixed"/>
      </w:tblPr>
      <w:tblGrid>
        <w:gridCol w:w="2700"/>
        <w:gridCol w:w="2400"/>
        <w:gridCol w:w="4540"/>
      </w:tblGrid>
      <w:tr>
        <w:trPr>
          <w:tblHeader/>
          <w:cantSplit/>
        </w:trPr>
        <w:tc>
          <w:tcPr>
            <w:tcW w:w="270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Fondation imposée</w:t>
            </w:r>
          </w:p>
        </w:tc>
        <w:tc>
          <w:tcPr>
            <w:tcW w:w="240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Rang dans l'ordre du corpus</w:t>
            </w:r>
          </w:p>
        </w:tc>
        <w:tc>
          <w:tcPr>
            <w:tcW w:w="454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État réel</w:t>
            </w:r>
          </w:p>
        </w:tc>
      </w:tr>
      <w:tr>
        <w:trPr>
          <w:cantSplit/>
        </w:trPr>
        <w:tc>
          <w:tcPr>
            <w:tcW w:w="2700" w:type="dxa"/>
            <w:vAlign w:val="center"/>
            <w:tcMar>
              <w:top w:w="60" w:type="dxa"/>
              <w:bottom w:w="60" w:type="dxa"/>
              <w:left w:w="90" w:type="dxa"/>
              <w:right w:w="90" w:type="dxa"/>
            </w:tcMar>
          </w:tcPr>
          <w:p>
            <w:pPr>
              <w:spacing w:before="20" w:after="20"/>
            </w:pPr>
            <w:r>
              <w:rPr>
                <w:rFonts w:ascii="Calibri" w:hAnsi="Calibri"/>
                <w:color w:val="11212E"/>
                <w:sz w:val="18"/>
              </w:rPr>
              <w:t xml:space="preserve">Référentiels nationaux + NIS + MPI (CDC_09)</w:t>
            </w:r>
          </w:p>
        </w:tc>
        <w:tc>
          <w:tcPr>
            <w:tcW w:w="2400" w:type="dxa"/>
            <w:vAlign w:val="center"/>
            <w:tcMar>
              <w:top w:w="60" w:type="dxa"/>
              <w:bottom w:w="60" w:type="dxa"/>
              <w:left w:w="90" w:type="dxa"/>
              <w:right w:w="90" w:type="dxa"/>
            </w:tcMar>
          </w:tcPr>
          <w:p>
            <w:pPr>
              <w:spacing w:before="20" w:after="20"/>
            </w:pPr>
            <w:r>
              <w:rPr>
                <w:rFonts w:ascii="Calibri" w:hAnsi="Calibri"/>
                <w:color w:val="11212E"/>
                <w:sz w:val="18"/>
              </w:rPr>
              <w:t xml:space="preserve">Prérequis n° 3 de tout le métier</w:t>
            </w:r>
          </w:p>
        </w:tc>
        <w:tc>
          <w:tcPr>
            <w:tcW w:w="4540" w:type="dxa"/>
            <w:vAlign w:val="center"/>
            <w:tcMar>
              <w:top w:w="60" w:type="dxa"/>
              <w:bottom w:w="60" w:type="dxa"/>
              <w:left w:w="90" w:type="dxa"/>
              <w:right w:w="90" w:type="dxa"/>
            </w:tcMar>
          </w:tcPr>
          <w:p>
            <w:pPr>
              <w:spacing w:before="20" w:after="20"/>
            </w:pPr>
            <w:r>
              <w:rPr>
                <w:rFonts w:ascii="Calibri" w:hAnsi="Calibri"/>
                <w:color w:val="11212E"/>
                <w:sz w:val="18"/>
              </w:rPr>
              <w:t xml:space="preserve">Absent — MatriculeService produit un matricule interne IVS-…, différent du NIS CIS… d'ADR-001</w:t>
            </w:r>
          </w:p>
        </w:tc>
      </w:tr>
      <w:tr>
        <w:trPr>
          <w:cantSplit/>
        </w:trPr>
        <w:tc>
          <w:tcPr>
            <w:tcW w:w="27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Moteur de protocoles (CDC_08)</w:t>
            </w:r>
          </w:p>
        </w:tc>
        <w:tc>
          <w:tcPr>
            <w:tcW w:w="24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Prérequis du triage</w:t>
            </w:r>
          </w:p>
        </w:tc>
        <w:tc>
          <w:tcPr>
            <w:tcW w:w="45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Absent — aucune table protocoles*</w:t>
            </w:r>
          </w:p>
        </w:tc>
      </w:tr>
      <w:tr>
        <w:trPr>
          <w:cantSplit/>
        </w:trPr>
        <w:tc>
          <w:tcPr>
            <w:tcW w:w="2700" w:type="dxa"/>
            <w:vAlign w:val="center"/>
            <w:tcMar>
              <w:top w:w="60" w:type="dxa"/>
              <w:bottom w:w="60" w:type="dxa"/>
              <w:left w:w="90" w:type="dxa"/>
              <w:right w:w="90" w:type="dxa"/>
            </w:tcMar>
          </w:tcPr>
          <w:p>
            <w:pPr>
              <w:spacing w:before="20" w:after="20"/>
            </w:pPr>
            <w:r>
              <w:rPr>
                <w:rFonts w:ascii="Calibri" w:hAnsi="Calibri"/>
                <w:color w:val="11212E"/>
                <w:sz w:val="18"/>
              </w:rPr>
              <w:t xml:space="preserve">Mobile Money (CDC_06 §4)</w:t>
            </w:r>
          </w:p>
        </w:tc>
        <w:tc>
          <w:tcPr>
            <w:tcW w:w="2400" w:type="dxa"/>
            <w:vAlign w:val="center"/>
            <w:tcMar>
              <w:top w:w="60" w:type="dxa"/>
              <w:bottom w:w="60" w:type="dxa"/>
              <w:left w:w="90" w:type="dxa"/>
              <w:right w:w="90" w:type="dxa"/>
            </w:tcMar>
          </w:tcPr>
          <w:p>
            <w:pPr>
              <w:spacing w:before="20" w:after="20"/>
            </w:pPr>
            <w:r>
              <w:rPr>
                <w:rFonts w:ascii="Calibri" w:hAnsi="Calibri"/>
                <w:color w:val="11212E"/>
                <w:sz w:val="18"/>
              </w:rPr>
              <w:t xml:space="preserve">Canal principal, plus de 90 % des paiements en Côte d'Ivoire</w:t>
            </w:r>
          </w:p>
        </w:tc>
        <w:tc>
          <w:tcPr>
            <w:tcW w:w="4540" w:type="dxa"/>
            <w:vAlign w:val="center"/>
            <w:tcMar>
              <w:top w:w="60" w:type="dxa"/>
              <w:bottom w:w="60" w:type="dxa"/>
              <w:left w:w="90" w:type="dxa"/>
              <w:right w:w="90" w:type="dxa"/>
            </w:tcMar>
          </w:tcPr>
          <w:p>
            <w:pPr>
              <w:spacing w:before="20" w:after="20"/>
            </w:pPr>
            <w:r>
              <w:rPr>
                <w:rFonts w:ascii="Calibri" w:hAnsi="Calibri"/>
                <w:color w:val="11212E"/>
                <w:sz w:val="18"/>
              </w:rPr>
              <w:t xml:space="preserve">Absent — aucun adaptateur ; seuls carte, reversement et notification existent</w:t>
            </w:r>
          </w:p>
        </w:tc>
      </w:tr>
      <w:tr>
        <w:trPr>
          <w:cantSplit/>
        </w:trPr>
        <w:tc>
          <w:tcPr>
            <w:tcW w:w="27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Consultation → Diagnostic → Prescription</w:t>
            </w:r>
          </w:p>
        </w:tc>
        <w:tc>
          <w:tcPr>
            <w:tcW w:w="24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Cœur médical</w:t>
            </w:r>
          </w:p>
        </w:tc>
        <w:tc>
          <w:tcPr>
            <w:tcW w:w="45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Absent — aucune table consultations, ordonnance_lignes, delivrances</w:t>
            </w:r>
          </w:p>
        </w:tc>
      </w:tr>
    </w:tbl>
    <w:p>
      <w:pPr>
        <w:spacing w:before="0" w:after="100"/>
      </w:pPr>
    </w:p>
    <w:tbl>
      <w:tblPr>
        <w:tblW w:w="9640" w:type="dxa"/>
        <w:tblLayout w:type="fixed"/>
      </w:tblPr>
      <w:tblGrid>
        <w:gridCol w:w="9640"/>
      </w:tblGrid>
      <w:tr>
        <w:trPr>
          <w:cantSplit/>
        </w:trPr>
        <w:tc>
          <w:tcPr>
            <w:tcW w:w="9640" w:type="dxa"/>
            <w:shd w:val="clear" w:fill="FDECEC"/>
            <w:tcBorders>
              <w:left w:val="single" w:sz="24" w:space="0" w:color="C0392B"/>
              <w:top w:val="single" w:sz="2" w:space="0" w:color="FDECEC"/>
              <w:bottom w:val="single" w:sz="2" w:space="0" w:color="FDECEC"/>
              <w:right w:val="single" w:sz="2" w:space="0" w:color="FDECEC"/>
            </w:tcBorders>
            <w:tcMar>
              <w:top w:w="120" w:type="dxa"/>
              <w:bottom w:w="120" w:type="dxa"/>
              <w:left w:w="200" w:type="dxa"/>
              <w:right w:w="160" w:type="dxa"/>
            </w:tcMar>
          </w:tcPr>
          <w:p>
            <w:pPr>
              <w:spacing w:before="0" w:after="60"/>
            </w:pPr>
            <w:r>
              <w:rPr>
                <w:rFonts w:ascii="Calibri" w:hAnsi="Calibri"/>
                <w:b/>
                <w:color w:val="C0392B"/>
                <w:sz w:val="20"/>
              </w:rPr>
              <w:t xml:space="preserve">Violation active à corriger</w:t>
            </w:r>
          </w:p>
          <w:p>
            <w:pPr>
              <w:spacing w:before="0" w:after="20"/>
            </w:pPr>
            <w:r>
              <w:rPr>
                <w:rFonts w:ascii="Calibri" w:hAnsi="Calibri"/>
                <w:color w:val="33475A"/>
                <w:sz w:val="19"/>
              </w:rPr>
              <w:t xml:space="preserve">TriageService.php code en dur les seuils médicaux (0-30 / 31-65 / 66-100, plafond antécédents à 20, score forcé à 90) et ne produit que 3 niveaux au lieu des 4 niveaux patient et 5 niveaux hospitaliers imposés. C'est l'interdit absolu n° 1 du CDC_00 §4 — « coder une règle médicale en dur ». La correction propre suppose le moteur de protocoles (CDC_08) et doit donc suivre celui-ci.</w:t>
            </w:r>
          </w:p>
        </w:tc>
      </w:tr>
    </w:tbl>
    <w:p>
      <w:pPr>
        <w:spacing w:before="0" w:after="120"/>
      </w:pPr>
    </w:p>
    <w:p>
      <w:pPr>
        <w:pStyle w:val="Heading2"/>
        <w:keepNext/>
        <w:spacing w:before="320" w:after="120"/>
      </w:pPr>
      <w:r>
        <w:rPr>
          <w:b/>
          <w:color w:val="1E6BB8"/>
          <w:sz w:val="26"/>
        </w:rPr>
        <w:t xml:space="preserve">1.3 Couverture fonctionnelle</w:t>
      </w:r>
    </w:p>
    <w:p>
      <w:pPr>
        <w:spacing w:before="0" w:after="120"/>
      </w:pPr>
      <w:r>
        <w:rPr>
          <w:rFonts w:ascii="Calibri" w:hAnsi="Calibri"/>
          <w:color w:val="11212E"/>
          <w:sz w:val="20"/>
        </w:rPr>
        <w:t xml:space="preserve">Sur les 12 modules fonctionnels énumérés au CDC_11 §2.1 :</w:t>
      </w:r>
    </w:p>
    <w:tbl>
      <w:tblPr>
        <w:tblW w:w="9640" w:type="dxa"/>
        <w:tblBorders>
          <w:top w:val="single" w:sz="4" w:space="0" w:color="BCD6F0"/>
          <w:left w:val="single" w:sz="4" w:space="0" w:color="BCD6F0"/>
          <w:bottom w:val="single" w:sz="4" w:space="0" w:color="BCD6F0"/>
          <w:right w:val="single" w:sz="4" w:space="0" w:color="BCD6F0"/>
          <w:insideH w:val="single" w:sz="4" w:space="0" w:color="BCD6F0"/>
          <w:insideV w:val="single" w:sz="4" w:space="0" w:color="BCD6F0"/>
        </w:tblBorders>
        <w:tblLayout w:type="fixed"/>
      </w:tblPr>
      <w:tblGrid>
        <w:gridCol w:w="1900"/>
        <w:gridCol w:w="7740"/>
      </w:tblGrid>
      <w:tr>
        <w:trPr>
          <w:tblHeader/>
          <w:cantSplit/>
        </w:trPr>
        <w:tc>
          <w:tcPr>
            <w:tcW w:w="190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Statut</w:t>
            </w:r>
          </w:p>
        </w:tc>
        <w:tc>
          <w:tcPr>
            <w:tcW w:w="774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Modules</w:t>
            </w:r>
          </w:p>
        </w:tc>
      </w:tr>
      <w:tr>
        <w:trPr>
          <w:cantSplit/>
        </w:trPr>
        <w:tc>
          <w:tcPr>
            <w:tcW w:w="1900" w:type="dxa"/>
            <w:vAlign w:val="center"/>
            <w:tcMar>
              <w:top w:w="60" w:type="dxa"/>
              <w:bottom w:w="60" w:type="dxa"/>
              <w:left w:w="90" w:type="dxa"/>
              <w:right w:w="90" w:type="dxa"/>
            </w:tcMar>
          </w:tcPr>
          <w:p>
            <w:pPr>
              <w:spacing w:before="20" w:after="20"/>
            </w:pPr>
            <w:r>
              <w:rPr>
                <w:rFonts w:ascii="Calibri" w:hAnsi="Calibri"/>
                <w:color w:val="11212E"/>
                <w:sz w:val="18"/>
              </w:rPr>
              <w:t xml:space="preserve">Complets (2)</w:t>
            </w:r>
          </w:p>
        </w:tc>
        <w:tc>
          <w:tcPr>
            <w:tcW w:w="7740" w:type="dxa"/>
            <w:vAlign w:val="center"/>
            <w:tcMar>
              <w:top w:w="60" w:type="dxa"/>
              <w:bottom w:w="60" w:type="dxa"/>
              <w:left w:w="90" w:type="dxa"/>
              <w:right w:w="90" w:type="dxa"/>
            </w:tcMar>
          </w:tcPr>
          <w:p>
            <w:pPr>
              <w:spacing w:before="20" w:after="20"/>
            </w:pPr>
            <w:r>
              <w:rPr>
                <w:rFonts w:ascii="Calibri" w:hAnsi="Calibri"/>
                <w:color w:val="11212E"/>
                <w:sz w:val="18"/>
              </w:rPr>
              <w:t xml:space="preserve">Rendez-vous · Paiement</w:t>
            </w:r>
          </w:p>
        </w:tc>
      </w:tr>
      <w:tr>
        <w:trPr>
          <w:cantSplit/>
        </w:trPr>
        <w:tc>
          <w:tcPr>
            <w:tcW w:w="1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Partiels (4)</w:t>
            </w:r>
          </w:p>
        </w:tc>
        <w:tc>
          <w:tcPr>
            <w:tcW w:w="77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Patients · Établissements · Médecins · Dossier médical</w:t>
            </w:r>
          </w:p>
        </w:tc>
      </w:tr>
      <w:tr>
        <w:trPr>
          <w:cantSplit/>
        </w:trPr>
        <w:tc>
          <w:tcPr>
            <w:tcW w:w="1900" w:type="dxa"/>
            <w:vAlign w:val="center"/>
            <w:tcMar>
              <w:top w:w="60" w:type="dxa"/>
              <w:bottom w:w="60" w:type="dxa"/>
              <w:left w:w="90" w:type="dxa"/>
              <w:right w:w="90" w:type="dxa"/>
            </w:tcMar>
          </w:tcPr>
          <w:p>
            <w:pPr>
              <w:spacing w:before="20" w:after="20"/>
            </w:pPr>
            <w:r>
              <w:rPr>
                <w:rFonts w:ascii="Calibri" w:hAnsi="Calibri"/>
                <w:color w:val="11212E"/>
                <w:sz w:val="18"/>
              </w:rPr>
              <w:t xml:space="preserve">Absents (6)</w:t>
            </w:r>
          </w:p>
        </w:tc>
        <w:tc>
          <w:tcPr>
            <w:tcW w:w="7740" w:type="dxa"/>
            <w:vAlign w:val="center"/>
            <w:tcMar>
              <w:top w:w="60" w:type="dxa"/>
              <w:bottom w:w="60" w:type="dxa"/>
              <w:left w:w="90" w:type="dxa"/>
              <w:right w:w="90" w:type="dxa"/>
            </w:tcMar>
          </w:tcPr>
          <w:p>
            <w:pPr>
              <w:spacing w:before="20" w:after="20"/>
            </w:pPr>
            <w:r>
              <w:rPr>
                <w:rFonts w:ascii="Calibri" w:hAnsi="Calibri"/>
                <w:color w:val="11212E"/>
                <w:sz w:val="18"/>
              </w:rPr>
              <w:t xml:space="preserve">Pharmacies · Laboratoires · Triage conforme · Notifications · Administration nationale · API d'intégration</w:t>
            </w:r>
          </w:p>
        </w:tc>
      </w:tr>
    </w:tbl>
    <w:p>
      <w:pPr>
        <w:spacing w:before="0" w:after="100"/>
      </w:pPr>
    </w:p>
    <w:p>
      <w:pPr>
        <w:spacing w:before="0" w:after="160"/>
      </w:pPr>
      <w:r>
        <w:rPr>
          <w:rFonts w:ascii="Calibri" w:hAnsi="Calibri"/>
          <w:color w:val="11212E"/>
          <w:sz w:val="20"/>
        </w:rPr>
        <w:t xml:space="preserve">Sur les 10 applications décrites au CDC_11 : Patient et Médecin sont partiels (portail Blade) ; </w:t>
      </w:r>
      <w:r>
        <w:rPr>
          <w:rFonts w:ascii="Calibri" w:hAnsi="Calibri"/>
          <w:b/>
          <w:color w:val="11212E"/>
          <w:sz w:val="20"/>
        </w:rPr>
        <w:t xml:space="preserve">Infirmier, Pharmacien, Laboratoire, Radiologie, Ambulance, Ministère, Assurance et Console IA sont totalement absents</w:t>
      </w:r>
      <w:r>
        <w:rPr>
          <w:rFonts w:ascii="Calibri" w:hAnsi="Calibri"/>
          <w:color w:val="11212E"/>
          <w:sz w:val="20"/>
        </w:rPr>
        <w:t xml:space="preserve">.</w:t>
      </w:r>
    </w:p>
    <w:tbl>
      <w:tblPr>
        <w:tblW w:w="9640" w:type="dxa"/>
        <w:tblLayout w:type="fixed"/>
      </w:tblPr>
      <w:tblGrid>
        <w:gridCol w:w="9640"/>
      </w:tblGrid>
      <w:tr>
        <w:trPr>
          <w:cantSplit/>
        </w:trPr>
        <w:tc>
          <w:tcPr>
            <w:tcW w:w="9640" w:type="dxa"/>
            <w:shd w:val="clear" w:fill="DCEAF8"/>
            <w:tcBorders>
              <w:left w:val="single" w:sz="24" w:space="0" w:color="1E6BB8"/>
              <w:top w:val="single" w:sz="2" w:space="0" w:color="DCEAF8"/>
              <w:bottom w:val="single" w:sz="2" w:space="0" w:color="DCEAF8"/>
              <w:right w:val="single" w:sz="2" w:space="0" w:color="DCEAF8"/>
            </w:tcBorders>
            <w:tcMar>
              <w:top w:w="120" w:type="dxa"/>
              <w:bottom w:w="120" w:type="dxa"/>
              <w:left w:w="200" w:type="dxa"/>
              <w:right w:w="160" w:type="dxa"/>
            </w:tcMar>
          </w:tcPr>
          <w:p>
            <w:pPr>
              <w:spacing w:before="0" w:after="60"/>
            </w:pPr>
            <w:r>
              <w:rPr>
                <w:rFonts w:ascii="Calibri" w:hAnsi="Calibri"/>
                <w:b/>
                <w:color w:val="1E6BB8"/>
                <w:sz w:val="20"/>
              </w:rPr>
              <w:t xml:space="preserve">Estimation globale</w:t>
            </w:r>
          </w:p>
          <w:p>
            <w:pPr>
              <w:spacing w:before="0" w:after="20"/>
            </w:pPr>
            <w:r>
              <w:rPr>
                <w:rFonts w:ascii="Calibri" w:hAnsi="Calibri"/>
                <w:color w:val="33475A"/>
                <w:sz w:val="19"/>
              </w:rPr>
              <w:t xml:space="preserve">Environ 30 % du corpus est livré. Le chiffre est tiré vers le haut par la profondeur du domaine Paiement et tiré vers le bas par l'absence des fondations nationales.</w:t>
            </w:r>
          </w:p>
        </w:tc>
      </w:tr>
    </w:tbl>
    <w:p>
      <w:pPr>
        <w:spacing w:before="0" w:after="120"/>
      </w:pPr>
    </w:p>
    <w:p>
      <w:r>
        <w:br w:type="page"/>
      </w:r>
    </w:p>
    <w:p>
      <w:pPr>
        <w:pStyle w:val="Heading1"/>
        <w:keepNext/>
        <w:spacing w:before="400" w:after="120"/>
      </w:pPr>
      <w:r>
        <w:rPr>
          <w:b/>
          <w:color w:val="1E6BB8"/>
          <w:sz w:val="32"/>
        </w:rPr>
        <w:t xml:space="preserve">Partie 2 — Tout ce qui reste</w:t>
      </w:r>
    </w:p>
    <w:p>
      <w:pPr>
        <w:spacing w:before="0" w:after="200"/>
      </w:pPr>
      <w:r>
        <w:rPr>
          <w:rFonts w:ascii="Calibri" w:hAnsi="Calibri"/>
          <w:color w:val="33475A"/>
          <w:sz w:val="20"/>
        </w:rPr>
        <w:t xml:space="preserve">Inventaire exhaustif, cahier des charges par cahier des charges. Les intitulés reprennent la terminologie des CDC pour permettre la traçabilité en soutenance.</w:t>
      </w:r>
    </w:p>
    <w:p>
      <w:pPr>
        <w:pStyle w:val="Heading2"/>
        <w:keepNext/>
        <w:spacing w:before="320" w:after="120"/>
      </w:pPr>
      <w:r>
        <w:rPr>
          <w:b/>
          <w:color w:val="1E6BB8"/>
          <w:sz w:val="26"/>
        </w:rPr>
        <w:t xml:space="preserve">A. CDC_09 — Données nationales (prérequis bloquant)</w:t>
      </w:r>
    </w:p>
    <w:tbl>
      <w:tblPr>
        <w:tblW w:w="9640" w:type="dxa"/>
        <w:tblLayout w:type="fixed"/>
      </w:tblPr>
      <w:tblGrid>
        <w:gridCol w:w="9640"/>
      </w:tblGrid>
      <w:tr>
        <w:trPr>
          <w:cantSplit/>
        </w:trPr>
        <w:tc>
          <w:tcPr>
            <w:tcW w:w="9640" w:type="dxa"/>
            <w:shd w:val="clear" w:fill="FDF3E3"/>
            <w:tcBorders>
              <w:left w:val="single" w:sz="24" w:space="0" w:color="E8641B"/>
              <w:top w:val="single" w:sz="2" w:space="0" w:color="FDF3E3"/>
              <w:bottom w:val="single" w:sz="2" w:space="0" w:color="FDF3E3"/>
              <w:right w:val="single" w:sz="2" w:space="0" w:color="FDF3E3"/>
            </w:tcBorders>
            <w:tcMar>
              <w:top w:w="120" w:type="dxa"/>
              <w:bottom w:w="120" w:type="dxa"/>
              <w:left w:w="200" w:type="dxa"/>
              <w:right w:w="160" w:type="dxa"/>
            </w:tcMar>
          </w:tcPr>
          <w:p>
            <w:pPr>
              <w:spacing w:before="0" w:after="60"/>
            </w:pPr>
            <w:r>
              <w:rPr>
                <w:rFonts w:ascii="Calibri" w:hAnsi="Calibri"/>
                <w:b/>
                <w:color w:val="E8641B"/>
                <w:sz w:val="20"/>
              </w:rPr>
              <w:t xml:space="preserve">Statut</w:t>
            </w:r>
          </w:p>
          <w:p>
            <w:pPr>
              <w:spacing w:before="0" w:after="20"/>
            </w:pPr>
            <w:r>
              <w:rPr>
                <w:rFonts w:ascii="Calibri" w:hAnsi="Calibri"/>
                <w:color w:val="33475A"/>
                <w:sz w:val="19"/>
              </w:rPr>
              <w:t xml:space="preserve">Absent à ~95 %. C'est le prérequis n° 3 du corpus : il bloque prescription, pharmacie, laboratoire et toute l'interopérabilité.</w:t>
            </w:r>
          </w:p>
        </w:tc>
      </w:tr>
    </w:tbl>
    <w:p>
      <w:pPr>
        <w:spacing w:before="0" w:after="120"/>
      </w:pPr>
    </w:p>
    <w:p>
      <w:pPr>
        <w:pStyle w:val="Heading3"/>
        <w:keepNext/>
        <w:spacing w:before="240" w:after="120"/>
      </w:pPr>
      <w:r>
        <w:rPr>
          <w:b/>
          <w:color w:val="11212E"/>
          <w:sz w:val="22"/>
        </w:rPr>
        <w:t xml:space="preserve">A1. Identifiant National de Santé (NIS)</w:t>
      </w:r>
    </w:p>
    <w:p>
      <w:pPr>
        <w:ind w:left="340" w:hanging="200"/>
        <w:spacing w:before="0" w:after="60"/>
      </w:pPr>
      <w:r>
        <w:rPr>
          <w:rFonts w:ascii="Calibri" w:hAnsi="Calibri"/>
          <w:color w:val="11212E"/>
          <w:sz w:val="20"/>
        </w:rPr>
        <w:t xml:space="preserve">•  Générateur CIS + année (2) + compteur (8) + clé de contrôle mod-97 — ADR-001 acté, non implémenté</w:t>
      </w:r>
    </w:p>
    <w:p>
      <w:pPr>
        <w:ind w:left="340" w:hanging="200"/>
        <w:spacing w:before="0" w:after="60"/>
      </w:pPr>
      <w:r>
        <w:rPr>
          <w:rFonts w:ascii="Calibri" w:hAnsi="Calibri"/>
          <w:color w:val="11212E"/>
          <w:sz w:val="20"/>
        </w:rPr>
        <w:t xml:space="preserve">•  Vérification du checksum côté client et côté serveur</w:t>
      </w:r>
    </w:p>
    <w:p>
      <w:pPr>
        <w:ind w:left="340" w:hanging="200"/>
        <w:spacing w:before="0" w:after="60"/>
      </w:pPr>
      <w:r>
        <w:rPr>
          <w:rFonts w:ascii="Calibri" w:hAnsi="Calibri"/>
          <w:color w:val="11212E"/>
          <w:sz w:val="20"/>
        </w:rPr>
        <w:t xml:space="preserve">•  Unicité, non-réutilisabilité, permanence à vie</w:t>
      </w:r>
    </w:p>
    <w:p>
      <w:pPr>
        <w:ind w:left="340" w:hanging="200"/>
        <w:spacing w:before="0" w:after="60"/>
      </w:pPr>
      <w:r>
        <w:rPr>
          <w:rFonts w:ascii="Calibri" w:hAnsi="Calibri"/>
          <w:color w:val="11212E"/>
          <w:sz w:val="20"/>
        </w:rPr>
        <w:t xml:space="preserve">•  Rattachement de toute donnée de santé au NIS</w:t>
      </w:r>
    </w:p>
    <w:p>
      <w:pPr>
        <w:ind w:left="340" w:hanging="200"/>
        <w:spacing w:before="0" w:after="60"/>
      </w:pPr>
      <w:r>
        <w:rPr>
          <w:rFonts w:ascii="Calibri" w:hAnsi="Calibri"/>
          <w:color w:val="11212E"/>
          <w:sz w:val="20"/>
        </w:rPr>
        <w:t xml:space="preserve">•  Migration : ajout de numero_national_sante et reprise de l'existant</w:t>
      </w:r>
    </w:p>
    <w:p>
      <w:pPr>
        <w:pStyle w:val="Heading3"/>
        <w:keepNext/>
        <w:spacing w:before="240" w:after="120"/>
      </w:pPr>
      <w:r>
        <w:rPr>
          <w:b/>
          <w:color w:val="11212E"/>
          <w:sz w:val="22"/>
        </w:rPr>
        <w:t xml:space="preserve">A2. Master Patient Index (MPI)</w:t>
      </w:r>
    </w:p>
    <w:p>
      <w:pPr>
        <w:ind w:left="340" w:hanging="200"/>
        <w:spacing w:before="0" w:after="60"/>
      </w:pPr>
      <w:r>
        <w:rPr>
          <w:rFonts w:ascii="Calibri" w:hAnsi="Calibri"/>
          <w:color w:val="11212E"/>
          <w:sz w:val="20"/>
        </w:rPr>
        <w:t xml:space="preserve">•  POST /mpi/rechercher rendu obligatoire avant toute création de patient</w:t>
      </w:r>
    </w:p>
    <w:p>
      <w:pPr>
        <w:ind w:left="340" w:hanging="200"/>
        <w:spacing w:before="0" w:after="60"/>
      </w:pPr>
      <w:r>
        <w:rPr>
          <w:rFonts w:ascii="Calibri" w:hAnsi="Calibri"/>
          <w:color w:val="11212E"/>
          <w:sz w:val="20"/>
        </w:rPr>
        <w:t xml:space="preserve">•  Détection de doublons multicritères : nom, prénom, téléphone, date de naissance, numéro CNAM, CNI, passeport, biométrie, score de similarité IA</w:t>
      </w:r>
    </w:p>
    <w:p>
      <w:pPr>
        <w:ind w:left="340" w:hanging="200"/>
        <w:spacing w:before="0" w:after="60"/>
      </w:pPr>
      <w:r>
        <w:rPr>
          <w:rFonts w:ascii="Calibri" w:hAnsi="Calibri"/>
          <w:color w:val="11212E"/>
          <w:sz w:val="20"/>
        </w:rPr>
        <w:t xml:space="preserve">•  Fusion en 3 modes : automatique (score fort), après validation humaine (score intermédiaire), maintien séparé (score faible)</w:t>
      </w:r>
    </w:p>
    <w:p>
      <w:pPr>
        <w:ind w:left="340" w:hanging="200"/>
        <w:spacing w:before="0" w:after="60"/>
      </w:pPr>
      <w:r>
        <w:rPr>
          <w:rFonts w:ascii="Calibri" w:hAnsi="Calibri"/>
          <w:color w:val="11212E"/>
          <w:sz w:val="20"/>
        </w:rPr>
        <w:t xml:space="preserve">•  Table patient_fusions ; défusion réversible et journalisée</w:t>
      </w:r>
    </w:p>
    <w:p>
      <w:pPr>
        <w:ind w:left="340" w:hanging="200"/>
        <w:spacing w:before="0" w:after="60"/>
      </w:pPr>
      <w:r>
        <w:rPr>
          <w:rFonts w:ascii="Calibri" w:hAnsi="Calibri"/>
          <w:color w:val="11212E"/>
          <w:sz w:val="20"/>
        </w:rPr>
        <w:t xml:space="preserve">•  File d'arbitrage des doublons (GET /mpi/doublons)</w:t>
      </w:r>
    </w:p>
    <w:p>
      <w:pPr>
        <w:ind w:left="340" w:hanging="200"/>
        <w:spacing w:before="0" w:after="60"/>
      </w:pPr>
      <w:r>
        <w:rPr>
          <w:rFonts w:ascii="Calibri" w:hAnsi="Calibri"/>
          <w:color w:val="11212E"/>
          <w:sz w:val="20"/>
        </w:rPr>
        <w:t xml:space="preserve">•  Test critique imposé : deux homonymes stricts ne doivent jamais fusionner automatiquement</w:t>
      </w:r>
    </w:p>
    <w:p>
      <w:pPr>
        <w:pStyle w:val="Heading3"/>
        <w:keepNext/>
        <w:spacing w:before="240" w:after="120"/>
      </w:pPr>
      <w:r>
        <w:rPr>
          <w:b/>
          <w:color w:val="11212E"/>
          <w:sz w:val="22"/>
        </w:rPr>
        <w:t xml:space="preserve">A3. Référentiel national des établissements</w:t>
      </w:r>
    </w:p>
    <w:p>
      <w:pPr>
        <w:ind w:left="340" w:hanging="200"/>
        <w:spacing w:before="0" w:after="60"/>
      </w:pPr>
      <w:r>
        <w:rPr>
          <w:rFonts w:ascii="Calibri" w:hAnsi="Calibri"/>
          <w:color w:val="11212E"/>
          <w:sz w:val="20"/>
        </w:rPr>
        <w:t xml:space="preserve">•  Identifiant national, niveau de soins, district sanitaire, capacité d'accueil, nombre de lits, agréments, certifications</w:t>
      </w:r>
    </w:p>
    <w:p>
      <w:pPr>
        <w:pStyle w:val="Heading3"/>
        <w:keepNext/>
        <w:spacing w:before="240" w:after="120"/>
      </w:pPr>
      <w:r>
        <w:rPr>
          <w:b/>
          <w:color w:val="11212E"/>
          <w:sz w:val="22"/>
        </w:rPr>
        <w:t xml:space="preserve">A4. Référentiel national des professionnels + PKI</w:t>
      </w:r>
    </w:p>
    <w:p>
      <w:pPr>
        <w:ind w:left="340" w:hanging="200"/>
        <w:spacing w:before="0" w:after="60"/>
      </w:pPr>
      <w:r>
        <w:rPr>
          <w:rFonts w:ascii="Calibri" w:hAnsi="Calibri"/>
          <w:color w:val="11212E"/>
          <w:sz w:val="20"/>
        </w:rPr>
        <w:t xml:space="preserve">•  Numéro professionnel, ordre, autorisation d'exercer, diplômes, langues parlées</w:t>
      </w:r>
    </w:p>
    <w:p>
      <w:pPr>
        <w:ind w:left="340" w:hanging="200"/>
        <w:spacing w:before="0" w:after="60"/>
      </w:pPr>
      <w:r>
        <w:rPr>
          <w:rFonts w:ascii="Calibri" w:hAnsi="Calibri"/>
          <w:color w:val="11212E"/>
          <w:sz w:val="20"/>
        </w:rPr>
        <w:t xml:space="preserve">•  Certificat numérique X.509 par professionnel</w:t>
      </w:r>
    </w:p>
    <w:p>
      <w:pPr>
        <w:ind w:left="340" w:hanging="200"/>
        <w:spacing w:before="0" w:after="60"/>
      </w:pPr>
      <w:r>
        <w:rPr>
          <w:rFonts w:ascii="Calibri" w:hAnsi="Calibri"/>
          <w:color w:val="11212E"/>
          <w:sz w:val="20"/>
        </w:rPr>
        <w:t xml:space="preserve">•  Vérification avant chaque signature : identité, certificat, autorisation d'exercer, expiration, révocation</w:t>
      </w:r>
    </w:p>
    <w:p>
      <w:pPr>
        <w:pStyle w:val="Heading3"/>
        <w:keepNext/>
        <w:spacing w:before="240" w:after="120"/>
      </w:pPr>
      <w:r>
        <w:rPr>
          <w:b/>
          <w:color w:val="11212E"/>
          <w:sz w:val="22"/>
        </w:rPr>
        <w:t xml:space="preserve">A5. Référentiel national des médicaments</w:t>
      </w:r>
    </w:p>
    <w:p>
      <w:pPr>
        <w:ind w:left="340" w:hanging="200"/>
        <w:spacing w:before="0" w:after="60"/>
      </w:pPr>
      <w:r>
        <w:rPr>
          <w:rFonts w:ascii="Calibri" w:hAnsi="Calibri"/>
          <w:color w:val="11212E"/>
          <w:sz w:val="20"/>
        </w:rPr>
        <w:t xml:space="preserve">•  Code national, DCI, nom commercial, laboratoire, forme, dosage, voie, classe thérapeutique</w:t>
      </w:r>
    </w:p>
    <w:p>
      <w:pPr>
        <w:ind w:left="340" w:hanging="200"/>
        <w:spacing w:before="0" w:after="60"/>
      </w:pPr>
      <w:r>
        <w:rPr>
          <w:rFonts w:ascii="Calibri" w:hAnsi="Calibri"/>
          <w:color w:val="11212E"/>
          <w:sz w:val="20"/>
        </w:rPr>
        <w:t xml:space="preserve">•  Indications, contre-indications, interactions, effets secondaires, prix homologué, statut générique / princeps</w:t>
      </w:r>
    </w:p>
    <w:p>
      <w:pPr>
        <w:ind w:left="340" w:hanging="200"/>
        <w:spacing w:before="0" w:after="60"/>
      </w:pPr>
      <w:r>
        <w:rPr>
          <w:rFonts w:ascii="Calibri" w:hAnsi="Calibri"/>
          <w:color w:val="11212E"/>
          <w:sz w:val="20"/>
        </w:rPr>
        <w:t xml:space="preserve">•  Synchronisation avec les autorités : AMM, retraits, alertes de pharmacovigilance, ruptures critiques — versionnée et propagée par événement</w:t>
      </w:r>
    </w:p>
    <w:p>
      <w:pPr>
        <w:pStyle w:val="Heading3"/>
        <w:keepNext/>
        <w:spacing w:before="240" w:after="120"/>
      </w:pPr>
      <w:r>
        <w:rPr>
          <w:b/>
          <w:color w:val="11212E"/>
          <w:sz w:val="22"/>
        </w:rPr>
        <w:t xml:space="preserve">A6. Laboratoires et catalogue des analyses</w:t>
      </w:r>
    </w:p>
    <w:p>
      <w:pPr>
        <w:ind w:left="340" w:hanging="200"/>
        <w:spacing w:before="0" w:after="60"/>
      </w:pPr>
      <w:r>
        <w:rPr>
          <w:rFonts w:ascii="Calibri" w:hAnsi="Calibri"/>
          <w:color w:val="11212E"/>
          <w:sz w:val="20"/>
        </w:rPr>
        <w:t xml:space="preserve">•  Responsable scientifique, accréditations, équipements, délais moyens de rendu</w:t>
      </w:r>
    </w:p>
    <w:p>
      <w:pPr>
        <w:ind w:left="340" w:hanging="200"/>
        <w:spacing w:before="0" w:after="60"/>
      </w:pPr>
      <w:r>
        <w:rPr>
          <w:rFonts w:ascii="Calibri" w:hAnsi="Calibri"/>
          <w:color w:val="11212E"/>
          <w:sz w:val="20"/>
        </w:rPr>
        <w:t xml:space="preserve">•  Catalogue normalisé : code national, libellé, unité de mesure, valeurs de référence, méthode analytique, conditions de prélèvement</w:t>
      </w:r>
    </w:p>
    <w:p>
      <w:pPr>
        <w:ind w:left="340" w:hanging="200"/>
        <w:spacing w:before="0" w:after="60"/>
      </w:pPr>
      <w:r>
        <w:rPr>
          <w:rFonts w:ascii="Calibri" w:hAnsi="Calibri"/>
          <w:color w:val="11212E"/>
          <w:sz w:val="20"/>
        </w:rPr>
        <w:t xml:space="preserve">•  Traçabilité du prélèvement en 8 étapes : prescription → enregistrement → étiquetage code-barres/QR → transport → réception → analyse → validation biologique → dossier patient</w:t>
      </w:r>
    </w:p>
    <w:p>
      <w:pPr>
        <w:pStyle w:val="Heading3"/>
        <w:keepNext/>
        <w:spacing w:before="240" w:after="120"/>
      </w:pPr>
      <w:r>
        <w:rPr>
          <w:b/>
          <w:color w:val="11212E"/>
          <w:sz w:val="22"/>
        </w:rPr>
        <w:t xml:space="preserve">A7. Référentiels transverses</w:t>
      </w:r>
    </w:p>
    <w:p>
      <w:pPr>
        <w:ind w:left="340" w:hanging="200"/>
        <w:spacing w:before="0" w:after="60"/>
      </w:pPr>
      <w:r>
        <w:rPr>
          <w:rFonts w:ascii="Calibri" w:hAnsi="Calibri"/>
          <w:color w:val="11212E"/>
          <w:sz w:val="20"/>
        </w:rPr>
        <w:t xml:space="preserve">•  CIM-10 / CIM-11 · SNOMED CT · LOINC · actes médicaux et tarifs · découpage sanitaire (régions, districts, communes, quartiers) · spécialités · vaccins et calendrier vaccinal national · assurances agréées · numéros d'urgence</w:t>
      </w:r>
    </w:p>
    <w:p>
      <w:pPr>
        <w:pStyle w:val="Heading3"/>
        <w:keepNext/>
        <w:spacing w:before="240" w:after="120"/>
      </w:pPr>
      <w:r>
        <w:rPr>
          <w:b/>
          <w:color w:val="11212E"/>
          <w:sz w:val="22"/>
        </w:rPr>
        <w:t xml:space="preserve">A8. Interopérabilité</w:t>
      </w:r>
    </w:p>
    <w:p>
      <w:pPr>
        <w:ind w:left="340" w:hanging="200"/>
        <w:spacing w:before="0" w:after="60"/>
      </w:pPr>
      <w:r>
        <w:rPr>
          <w:rFonts w:ascii="Calibri" w:hAnsi="Calibri"/>
          <w:color w:val="11212E"/>
          <w:sz w:val="20"/>
        </w:rPr>
        <w:t xml:space="preserve">•  HL7 FHIR (Patient, Observation, dossiers médicaux)</w:t>
      </w:r>
    </w:p>
    <w:p>
      <w:pPr>
        <w:ind w:left="340" w:hanging="200"/>
        <w:spacing w:before="0" w:after="60"/>
      </w:pPr>
      <w:r>
        <w:rPr>
          <w:rFonts w:ascii="Calibri" w:hAnsi="Calibri"/>
          <w:color w:val="11212E"/>
          <w:sz w:val="20"/>
        </w:rPr>
        <w:t xml:space="preserve">•  DICOM · cadre OpenHIE</w:t>
      </w:r>
    </w:p>
    <w:p>
      <w:pPr>
        <w:ind w:left="340" w:hanging="200"/>
        <w:spacing w:before="0" w:after="60"/>
      </w:pPr>
      <w:r>
        <w:rPr>
          <w:rFonts w:ascii="Calibri" w:hAnsi="Calibri"/>
          <w:color w:val="11212E"/>
          <w:sz w:val="20"/>
        </w:rPr>
        <w:t xml:space="preserve">•  API d'intégration partenaires : client OAuth2 dédié, quotas, webhooks signés, mapping vers les codes du référentiel national</w:t>
      </w:r>
    </w:p>
    <w:p>
      <w:pPr>
        <w:pStyle w:val="Heading3"/>
        <w:keepNext/>
        <w:spacing w:before="240" w:after="120"/>
      </w:pPr>
      <w:r>
        <w:rPr>
          <w:b/>
          <w:color w:val="11212E"/>
          <w:sz w:val="22"/>
        </w:rPr>
        <w:t xml:space="preserve">A9. Gouvernance des référentiels</w:t>
      </w:r>
    </w:p>
    <w:p>
      <w:pPr>
        <w:ind w:left="340" w:hanging="200"/>
        <w:spacing w:before="0" w:after="60"/>
      </w:pPr>
      <w:r>
        <w:rPr>
          <w:rFonts w:ascii="Calibri" w:hAnsi="Calibri"/>
          <w:color w:val="11212E"/>
          <w:sz w:val="20"/>
        </w:rPr>
        <w:t xml:space="preserve">•  Data ownership, cycle de vie versionné, contrôles qualité, écriture réservée aux rôles habilités avec MFA et double validation, diffusion par API + cache Redis (TTL 30 jours)</w:t>
      </w:r>
    </w:p>
    <w:p>
      <w:r>
        <w:br w:type="page"/>
      </w:r>
    </w:p>
    <w:p>
      <w:pPr>
        <w:pStyle w:val="Heading2"/>
        <w:keepNext/>
        <w:spacing w:before="320" w:after="120"/>
      </w:pPr>
      <w:r>
        <w:rPr>
          <w:b/>
          <w:color w:val="1E6BB8"/>
          <w:sz w:val="26"/>
        </w:rPr>
        <w:t xml:space="preserve">B. CDC_08 — Protocoles médicaux (intégralité)</w:t>
      </w:r>
    </w:p>
    <w:tbl>
      <w:tblPr>
        <w:tblW w:w="9640" w:type="dxa"/>
        <w:tblLayout w:type="fixed"/>
      </w:tblPr>
      <w:tblGrid>
        <w:gridCol w:w="9640"/>
      </w:tblGrid>
      <w:tr>
        <w:trPr>
          <w:cantSplit/>
        </w:trPr>
        <w:tc>
          <w:tcPr>
            <w:tcW w:w="9640" w:type="dxa"/>
            <w:shd w:val="clear" w:fill="FDF3E3"/>
            <w:tcBorders>
              <w:left w:val="single" w:sz="24" w:space="0" w:color="E8641B"/>
              <w:top w:val="single" w:sz="2" w:space="0" w:color="FDF3E3"/>
              <w:bottom w:val="single" w:sz="2" w:space="0" w:color="FDF3E3"/>
              <w:right w:val="single" w:sz="2" w:space="0" w:color="FDF3E3"/>
            </w:tcBorders>
            <w:tcMar>
              <w:top w:w="120" w:type="dxa"/>
              <w:bottom w:w="120" w:type="dxa"/>
              <w:left w:w="200" w:type="dxa"/>
              <w:right w:w="160" w:type="dxa"/>
            </w:tcMar>
          </w:tcPr>
          <w:p>
            <w:pPr>
              <w:spacing w:before="0" w:after="60"/>
            </w:pPr>
            <w:r>
              <w:rPr>
                <w:rFonts w:ascii="Calibri" w:hAnsi="Calibri"/>
                <w:b/>
                <w:color w:val="E8641B"/>
                <w:sz w:val="20"/>
              </w:rPr>
              <w:t xml:space="preserve">Statut</w:t>
            </w:r>
          </w:p>
          <w:p>
            <w:pPr>
              <w:spacing w:before="0" w:after="20"/>
            </w:pPr>
            <w:r>
              <w:rPr>
                <w:rFonts w:ascii="Calibri" w:hAnsi="Calibri"/>
                <w:color w:val="33475A"/>
                <w:sz w:val="19"/>
              </w:rPr>
              <w:t xml:space="preserve">0 % livré. Composant qualifié de « cerveau décisionnel clinique » par le corpus ; il conditionne le triage conforme et lève la violation de l'interdit n° 1.</w:t>
            </w:r>
          </w:p>
        </w:tc>
      </w:tr>
    </w:tbl>
    <w:p>
      <w:pPr>
        <w:spacing w:before="0" w:after="120"/>
      </w:pPr>
    </w:p>
    <w:p>
      <w:pPr>
        <w:spacing w:before="100" w:after="40"/>
      </w:pPr>
      <w:r>
        <w:rPr>
          <w:rFonts w:ascii="Calibri" w:hAnsi="Calibri"/>
          <w:b/>
          <w:color w:val="1E6BB8"/>
          <w:sz w:val="20"/>
        </w:rPr>
        <w:t xml:space="preserve">B1. Modèle de données et registre</w:t>
      </w:r>
    </w:p>
    <w:p>
      <w:pPr>
        <w:ind w:left="200" w:hanging="0"/>
        <w:spacing w:before="0" w:after="100"/>
      </w:pPr>
      <w:r>
        <w:rPr>
          <w:rFonts w:ascii="Calibri" w:hAnsi="Calibri"/>
          <w:color w:val="33475A"/>
          <w:sz w:val="19"/>
        </w:rPr>
        <w:t xml:space="preserve">11 tables : protocoles, protocole_versions, protocole_regles, protocole_conditions, protocole_actions, protocole_questions, protocole_reponses, protocole_references, protocole_validations, protocole_conflits, protocole_applications</w:t>
      </w:r>
    </w:p>
    <w:p>
      <w:pPr>
        <w:spacing w:before="100" w:after="40"/>
      </w:pPr>
      <w:r>
        <w:rPr>
          <w:rFonts w:ascii="Calibri" w:hAnsi="Calibri"/>
          <w:b/>
          <w:color w:val="1E6BB8"/>
          <w:sz w:val="20"/>
        </w:rPr>
        <w:t xml:space="preserve">B2. Moteur de règles (rules-engine)</w:t>
      </w:r>
    </w:p>
    <w:p>
      <w:pPr>
        <w:ind w:left="200" w:hanging="0"/>
        <w:spacing w:before="0" w:after="100"/>
      </w:pPr>
      <w:r>
        <w:rPr>
          <w:rFonts w:ascii="Calibri" w:hAnsi="Calibri"/>
          <w:color w:val="33475A"/>
          <w:sz w:val="19"/>
        </w:rPr>
        <w:t xml:space="preserve">Moteur d'inférence combinant règles déclaratives et graphes décisionnels ; compilation en structure exécutable en mémoire ; rechargement à chaud ; évaluation sous 100 ms au P95</w:t>
      </w:r>
    </w:p>
    <w:p>
      <w:pPr>
        <w:spacing w:before="100" w:after="40"/>
      </w:pPr>
      <w:r>
        <w:rPr>
          <w:rFonts w:ascii="Calibri" w:hAnsi="Calibri"/>
          <w:b/>
          <w:color w:val="1E6BB8"/>
          <w:sz w:val="20"/>
        </w:rPr>
        <w:t xml:space="preserve">B3. Sélecteur de protocoles (protocol-selector)</w:t>
      </w:r>
    </w:p>
    <w:p>
      <w:pPr>
        <w:ind w:left="200" w:hanging="0"/>
        <w:spacing w:before="0" w:after="100"/>
      </w:pPr>
      <w:r>
        <w:rPr>
          <w:rFonts w:ascii="Calibri" w:hAnsi="Calibri"/>
          <w:color w:val="33475A"/>
          <w:sz w:val="19"/>
        </w:rPr>
        <w:t xml:space="preserve">Ordre de priorité imposé : protocoles ivoiriens → ministériels régionaux → OMS → sociétés savantes → hospitaliers → raisonnement IA. L'IA n'intervient qu'en dernier recours</w:t>
      </w:r>
    </w:p>
    <w:p>
      <w:pPr>
        <w:spacing w:before="100" w:after="40"/>
      </w:pPr>
      <w:r>
        <w:rPr>
          <w:rFonts w:ascii="Calibri" w:hAnsi="Calibri"/>
          <w:b/>
          <w:color w:val="1E6BB8"/>
          <w:sz w:val="20"/>
        </w:rPr>
        <w:t xml:space="preserve">B4. Moteur de questionnaire (questionnaire-engine)</w:t>
      </w:r>
    </w:p>
    <w:p>
      <w:pPr>
        <w:ind w:left="200" w:hanging="0"/>
        <w:spacing w:before="0" w:after="100"/>
      </w:pPr>
      <w:r>
        <w:rPr>
          <w:rFonts w:ascii="Calibri" w:hAnsi="Calibri"/>
          <w:color w:val="33475A"/>
          <w:sz w:val="19"/>
        </w:rPr>
        <w:t xml:space="preserve">Questions adaptatives arborescentes — permet le triage sans aucun ML (Phase 1 du CDC_05)</w:t>
      </w:r>
    </w:p>
    <w:p>
      <w:pPr>
        <w:spacing w:before="100" w:after="40"/>
      </w:pPr>
      <w:r>
        <w:rPr>
          <w:rFonts w:ascii="Calibri" w:hAnsi="Calibri"/>
          <w:b/>
          <w:color w:val="1E6BB8"/>
          <w:sz w:val="20"/>
        </w:rPr>
        <w:t xml:space="preserve">B5. Résolution des conflits</w:t>
      </w:r>
    </w:p>
    <w:p>
      <w:pPr>
        <w:ind w:left="200" w:hanging="0"/>
        <w:spacing w:before="0" w:after="100"/>
      </w:pPr>
      <w:r>
        <w:rPr>
          <w:rFonts w:ascii="Calibri" w:hAnsi="Calibri"/>
          <w:color w:val="33475A"/>
          <w:sz w:val="19"/>
        </w:rPr>
        <w:t xml:space="preserve">National, puis le plus récent, puis le niveau de preuve le plus élevé, puis l'avis de spécialité, puis validation du médecin ; journal d'audit de toutes les divergences</w:t>
      </w:r>
    </w:p>
    <w:p>
      <w:pPr>
        <w:spacing w:before="100" w:after="40"/>
      </w:pPr>
      <w:r>
        <w:rPr>
          <w:rFonts w:ascii="Calibri" w:hAnsi="Calibri"/>
          <w:b/>
          <w:color w:val="1E6BB8"/>
          <w:sz w:val="20"/>
        </w:rPr>
        <w:t xml:space="preserve">B6. Versionnage et cycle de vie</w:t>
      </w:r>
    </w:p>
    <w:p>
      <w:pPr>
        <w:ind w:left="200" w:hanging="0"/>
        <w:spacing w:before="0" w:after="100"/>
      </w:pPr>
      <w:r>
        <w:rPr>
          <w:rFonts w:ascii="Calibri" w:hAnsi="Calibri"/>
          <w:color w:val="33475A"/>
          <w:sz w:val="19"/>
        </w:rPr>
        <w:t xml:space="preserve">États Brouillon / Actif / Archivé ; chaque décision conserve la version exacte du protocole (exigence médico-légale) ; événement ProtocolVersionPublished déclenchant la réindexation RAG et l'invalidation des caches</w:t>
      </w:r>
    </w:p>
    <w:p>
      <w:pPr>
        <w:spacing w:before="100" w:after="40"/>
      </w:pPr>
      <w:r>
        <w:rPr>
          <w:rFonts w:ascii="Calibri" w:hAnsi="Calibri"/>
          <w:b/>
          <w:color w:val="1E6BB8"/>
          <w:sz w:val="20"/>
        </w:rPr>
        <w:t xml:space="preserve">B7. Validation scientifique à 4 niveaux</w:t>
      </w:r>
    </w:p>
    <w:p>
      <w:pPr>
        <w:ind w:left="200" w:hanging="0"/>
        <w:spacing w:before="0" w:after="100"/>
      </w:pPr>
      <w:r>
        <w:rPr>
          <w:rFonts w:ascii="Calibri" w:hAnsi="Calibri"/>
          <w:color w:val="33475A"/>
          <w:sz w:val="19"/>
        </w:rPr>
        <w:t xml:space="preserve">Clinique, réglementaire, scientifique et technique (détection de conflits). Aucun protocole n'est publiable sans validation enregistrée et opposable</w:t>
      </w:r>
    </w:p>
    <w:p>
      <w:pPr>
        <w:spacing w:before="100" w:after="40"/>
      </w:pPr>
      <w:r>
        <w:rPr>
          <w:rFonts w:ascii="Calibri" w:hAnsi="Calibri"/>
          <w:b/>
          <w:color w:val="1E6BB8"/>
          <w:sz w:val="20"/>
        </w:rPr>
        <w:t xml:space="preserve">B8. Interface d'authoring (protocol-authoring)</w:t>
      </w:r>
    </w:p>
    <w:p>
      <w:pPr>
        <w:ind w:left="200" w:hanging="0"/>
        <w:spacing w:before="0" w:after="100"/>
      </w:pPr>
      <w:r>
        <w:rPr>
          <w:rFonts w:ascii="Calibri" w:hAnsi="Calibri"/>
          <w:color w:val="33475A"/>
          <w:sz w:val="19"/>
        </w:rPr>
        <w:t xml:space="preserve">Rédaction, relecture, validation, publication ; accès réservé aux rôles habilités avec MFA et double validation</w:t>
      </w:r>
    </w:p>
    <w:p>
      <w:pPr>
        <w:spacing w:before="100" w:after="40"/>
      </w:pPr>
      <w:r>
        <w:rPr>
          <w:rFonts w:ascii="Calibri" w:hAnsi="Calibri"/>
          <w:b/>
          <w:color w:val="1E6BB8"/>
          <w:sz w:val="20"/>
        </w:rPr>
        <w:t xml:space="preserve">B9. Chargement des protocoles ivoiriens prioritaires</w:t>
      </w:r>
    </w:p>
    <w:p>
      <w:pPr>
        <w:ind w:left="200" w:hanging="0"/>
        <w:spacing w:before="0" w:after="100"/>
      </w:pPr>
      <w:r>
        <w:rPr>
          <w:rFonts w:ascii="Calibri" w:hAnsi="Calibri"/>
          <w:color w:val="33475A"/>
          <w:sz w:val="19"/>
        </w:rPr>
        <w:t xml:space="preserve">Maladies infectieuses (paludisme, tuberculose, VIH, hépatites, choléra, fièvre jaune, dengue) · maladies chroniques (HTA, diabète, asthme, insuffisance cardiaque, AVC) · santé maternelle (consultation prénatale, accouchement, pré-éclampsie, hémorragie, césarienne, suivi post-partum) · santé infantile (vaccination, croissance, nutrition, déshydratation, diarrhée, pneumonie) · urgences (traumatisme, AVC, infarctus, convulsions, brûlures, choc septique)</w:t>
      </w:r>
    </w:p>
    <w:p>
      <w:pPr>
        <w:spacing w:before="100" w:after="40"/>
      </w:pPr>
      <w:r>
        <w:rPr>
          <w:rFonts w:ascii="Calibri" w:hAnsi="Calibri"/>
          <w:b/>
          <w:color w:val="1E6BB8"/>
          <w:sz w:val="20"/>
        </w:rPr>
        <w:t xml:space="preserve">B10. Protocoles OMS et spécialisés</w:t>
      </w:r>
    </w:p>
    <w:p>
      <w:pPr>
        <w:ind w:left="200" w:hanging="0"/>
        <w:spacing w:before="0" w:after="100"/>
      </w:pPr>
      <w:r>
        <w:rPr>
          <w:rFonts w:ascii="Calibri" w:hAnsi="Calibri"/>
          <w:color w:val="33475A"/>
          <w:sz w:val="19"/>
        </w:rPr>
        <w:t xml:space="preserve">Cardiologie, neurologie, oncologie, gynécologie, pédiatrie, psychiatrie, dermatologie</w:t>
      </w:r>
    </w:p>
    <w:p>
      <w:pPr>
        <w:spacing w:before="100" w:after="40"/>
      </w:pPr>
      <w:r>
        <w:rPr>
          <w:rFonts w:ascii="Calibri" w:hAnsi="Calibri"/>
          <w:b/>
          <w:color w:val="1E6BB8"/>
          <w:sz w:val="20"/>
        </w:rPr>
        <w:t xml:space="preserve">B11. Stratégie de tests</w:t>
      </w:r>
    </w:p>
    <w:p>
      <w:pPr>
        <w:ind w:left="200" w:hanging="0"/>
        <w:spacing w:before="0" w:after="100"/>
      </w:pPr>
      <w:r>
        <w:rPr>
          <w:rFonts w:ascii="Calibri" w:hAnsi="Calibri"/>
          <w:color w:val="33475A"/>
          <w:sz w:val="19"/>
        </w:rPr>
        <w:t xml:space="preserve">Simulations sur cas cliniques de référence, non-régression entre versions, cas limites (nourrissons, femmes enceintes, insuffisants rénaux, polymédication), tests multi-pays</w:t>
      </w:r>
    </w:p>
    <w:p>
      <w:r>
        <w:br w:type="page"/>
      </w:r>
    </w:p>
    <w:p>
      <w:pPr>
        <w:pStyle w:val="Heading2"/>
        <w:keepNext/>
        <w:spacing w:before="320" w:after="120"/>
      </w:pPr>
      <w:r>
        <w:rPr>
          <w:b/>
          <w:color w:val="1E6BB8"/>
          <w:sz w:val="26"/>
        </w:rPr>
        <w:t xml:space="preserve">C. CDC_06 — Paiement : ce qui reste</w:t>
      </w:r>
    </w:p>
    <w:tbl>
      <w:tblPr>
        <w:tblW w:w="9640" w:type="dxa"/>
        <w:tblLayout w:type="fixed"/>
      </w:tblPr>
      <w:tblGrid>
        <w:gridCol w:w="9640"/>
      </w:tblGrid>
      <w:tr>
        <w:trPr>
          <w:cantSplit/>
        </w:trPr>
        <w:tc>
          <w:tcPr>
            <w:tcW w:w="9640" w:type="dxa"/>
            <w:shd w:val="clear" w:fill="DCEAF8"/>
            <w:tcBorders>
              <w:left w:val="single" w:sz="24" w:space="0" w:color="1E6BB8"/>
              <w:top w:val="single" w:sz="2" w:space="0" w:color="DCEAF8"/>
              <w:bottom w:val="single" w:sz="2" w:space="0" w:color="DCEAF8"/>
              <w:right w:val="single" w:sz="2" w:space="0" w:color="DCEAF8"/>
            </w:tcBorders>
            <w:tcMar>
              <w:top w:w="120" w:type="dxa"/>
              <w:bottom w:w="120" w:type="dxa"/>
              <w:left w:w="200" w:type="dxa"/>
              <w:right w:w="160" w:type="dxa"/>
            </w:tcMar>
          </w:tcPr>
          <w:p>
            <w:pPr>
              <w:spacing w:before="0" w:after="60"/>
            </w:pPr>
            <w:r>
              <w:rPr>
                <w:rFonts w:ascii="Calibri" w:hAnsi="Calibri"/>
                <w:b/>
                <w:color w:val="1E6BB8"/>
                <w:sz w:val="20"/>
              </w:rPr>
              <w:t xml:space="preserve">Statut</w:t>
            </w:r>
          </w:p>
          <w:p>
            <w:pPr>
              <w:spacing w:before="0" w:after="20"/>
            </w:pPr>
            <w:r>
              <w:rPr>
                <w:rFonts w:ascii="Calibri" w:hAnsi="Calibri"/>
                <w:color w:val="33475A"/>
                <w:sz w:val="19"/>
              </w:rPr>
              <w:t xml:space="preserve">Environ 75 % livré — le domaine le plus abouti du projet. Il reste néanmoins son canal principal.</w:t>
            </w:r>
          </w:p>
        </w:tc>
      </w:tr>
    </w:tbl>
    <w:p>
      <w:pPr>
        <w:spacing w:before="0" w:after="120"/>
      </w:pPr>
    </w:p>
    <w:p>
      <w:pPr>
        <w:pStyle w:val="Heading3"/>
        <w:keepNext/>
        <w:spacing w:before="240" w:after="120"/>
      </w:pPr>
      <w:r>
        <w:rPr>
          <w:b/>
          <w:color w:val="11212E"/>
          <w:sz w:val="22"/>
        </w:rPr>
        <w:t xml:space="preserve">C1. Mobile Money §4 — le canal principal manquant</w:t>
      </w:r>
    </w:p>
    <w:p>
      <w:pPr>
        <w:ind w:left="340" w:hanging="200"/>
        <w:spacing w:before="0" w:after="60"/>
      </w:pPr>
      <w:r>
        <w:rPr>
          <w:rFonts w:ascii="Calibri" w:hAnsi="Calibri"/>
          <w:color w:val="11212E"/>
          <w:sz w:val="20"/>
        </w:rPr>
        <w:t xml:space="preserve">•  OrangeMoneyAdapter (Max it), WaveAdapter, MtnMoMoAdapter, MoovMoneyAdapter — un adaptateur à la fois, testé en sandbox</w:t>
      </w:r>
    </w:p>
    <w:p>
      <w:pPr>
        <w:ind w:left="340" w:hanging="200"/>
        <w:spacing w:before="0" w:after="60"/>
      </w:pPr>
      <w:r>
        <w:rPr>
          <w:rFonts w:ascii="Calibri" w:hAnsi="Calibri"/>
          <w:color w:val="11212E"/>
          <w:sz w:val="20"/>
        </w:rPr>
        <w:t xml:space="preserve">•  Flux complet : choix de l'opérateur → création de la transaction → redirection ou appel API → validation du PIN → webhook → facture → notification</w:t>
      </w:r>
    </w:p>
    <w:p>
      <w:pPr>
        <w:ind w:left="340" w:hanging="200"/>
        <w:spacing w:before="0" w:after="60"/>
      </w:pPr>
      <w:r>
        <w:rPr>
          <w:rFonts w:ascii="Calibri" w:hAnsi="Calibri"/>
          <w:color w:val="11212E"/>
          <w:sz w:val="20"/>
        </w:rPr>
        <w:t xml:space="preserve">•  Sécurité des échanges opérateurs : signature HMAC, anti-replay, TLS, liste blanche d'adresses IP, secrets en coffre Vault/KMS</w:t>
      </w:r>
    </w:p>
    <w:p>
      <w:pPr>
        <w:ind w:left="340" w:hanging="200"/>
        <w:spacing w:before="0" w:after="60"/>
      </w:pPr>
      <w:r>
        <w:rPr>
          <w:rFonts w:ascii="Calibri" w:hAnsi="Calibri"/>
          <w:color w:val="11212E"/>
          <w:sz w:val="20"/>
        </w:rPr>
        <w:t xml:space="preserve">•  Robustesse : timeouts stricts, retries sur opérations idempotentes uniquement, réconciliation périodique des transactions restées PENDING ou PROCESSING, file de compensation, bascule vers un autre fournisseur en cas de panne prolongée, circuit breaker par opérateur</w:t>
      </w:r>
    </w:p>
    <w:p>
      <w:pPr>
        <w:pStyle w:val="Heading3"/>
        <w:keepNext/>
        <w:spacing w:before="240" w:after="120"/>
      </w:pPr>
      <w:r>
        <w:rPr>
          <w:b/>
          <w:color w:val="11212E"/>
          <w:sz w:val="22"/>
        </w:rPr>
        <w:t xml:space="preserve">C2. Remboursements (refund-service)</w:t>
      </w:r>
    </w:p>
    <w:p>
      <w:pPr>
        <w:ind w:left="340" w:hanging="200"/>
        <w:spacing w:before="0" w:after="60"/>
      </w:pPr>
      <w:r>
        <w:rPr>
          <w:rFonts w:ascii="Calibri" w:hAnsi="Calibri"/>
          <w:color w:val="11212E"/>
          <w:sz w:val="20"/>
        </w:rPr>
        <w:t xml:space="preserve">•  Demandes, suivi des dossiers, rejets, corrections, régularisations, historisation complète de chaque étape</w:t>
      </w:r>
    </w:p>
    <w:p>
      <w:pPr>
        <w:pStyle w:val="Heading3"/>
        <w:keepNext/>
        <w:spacing w:before="240" w:after="120"/>
      </w:pPr>
      <w:r>
        <w:rPr>
          <w:b/>
          <w:color w:val="11212E"/>
          <w:sz w:val="22"/>
        </w:rPr>
        <w:t xml:space="preserve">C3. CNAM et assurances — passage du calcul simulé au réel</w:t>
      </w:r>
    </w:p>
    <w:p>
      <w:pPr>
        <w:ind w:left="340" w:hanging="200"/>
        <w:spacing w:before="0" w:after="60"/>
      </w:pPr>
      <w:r>
        <w:rPr>
          <w:rFonts w:ascii="Calibri" w:hAnsi="Calibri"/>
          <w:color w:val="11212E"/>
          <w:sz w:val="20"/>
        </w:rPr>
        <w:t xml:space="preserve">•  API CNAM : vérification d'affiliation, validation des droits, contrôle d'éligibilité, récupération des garanties applicables</w:t>
      </w:r>
    </w:p>
    <w:p>
      <w:pPr>
        <w:ind w:left="340" w:hanging="200"/>
        <w:spacing w:before="0" w:after="60"/>
      </w:pPr>
      <w:r>
        <w:rPr>
          <w:rFonts w:ascii="Calibri" w:hAnsi="Calibri"/>
          <w:color w:val="11212E"/>
          <w:sz w:val="20"/>
        </w:rPr>
        <w:t xml:space="preserve">•  Assurances privées, mutuelles, entreprises, ONG, organismes internationaux, programmes gouvernementaux</w:t>
      </w:r>
    </w:p>
    <w:p>
      <w:pPr>
        <w:ind w:left="340" w:hanging="200"/>
        <w:spacing w:before="0" w:after="60"/>
      </w:pPr>
      <w:r>
        <w:rPr>
          <w:rFonts w:ascii="Calibri" w:hAnsi="Calibri"/>
          <w:color w:val="11212E"/>
          <w:sz w:val="20"/>
        </w:rPr>
        <w:t xml:space="preserve">•  Gestion des sinistres et rejets : demandes de prise en charge, refus, justificatifs complémentaires, recours, remboursements partiels ou complets</w:t>
      </w:r>
    </w:p>
    <w:p>
      <w:pPr>
        <w:ind w:left="340" w:hanging="200"/>
        <w:spacing w:before="0" w:after="60"/>
      </w:pPr>
      <w:r>
        <w:rPr>
          <w:rFonts w:ascii="Calibri" w:hAnsi="Calibri"/>
          <w:color w:val="11212E"/>
          <w:sz w:val="20"/>
        </w:rPr>
        <w:t xml:space="preserve">•  Portail Assurance (CDC_11 §8.6) : validation de prise en charge, paiement automatique, contrôle de fraude, suivi des dossiers de remboursement</w:t>
      </w:r>
    </w:p>
    <w:p>
      <w:pPr>
        <w:pStyle w:val="Heading3"/>
        <w:keepNext/>
        <w:spacing w:before="240" w:after="120"/>
      </w:pPr>
      <w:r>
        <w:rPr>
          <w:b/>
          <w:color w:val="11212E"/>
          <w:sz w:val="22"/>
        </w:rPr>
        <w:t xml:space="preserve">C4. Rapprochement à quatre sources (§11)</w:t>
      </w:r>
    </w:p>
    <w:p>
      <w:pPr>
        <w:ind w:left="340" w:hanging="200"/>
        <w:spacing w:before="0" w:after="60"/>
      </w:pPr>
      <w:r>
        <w:rPr>
          <w:rFonts w:ascii="Calibri" w:hAnsi="Calibri"/>
          <w:color w:val="11212E"/>
          <w:sz w:val="20"/>
        </w:rPr>
        <w:t xml:space="preserve">•  Transactions opérateurs ↔ transactions MASANTÉ ↔ factures ↔ reversements — le bras externe reste absent ; seul le bras local est livré</w:t>
      </w:r>
    </w:p>
    <w:p>
      <w:pPr>
        <w:ind w:left="340" w:hanging="200"/>
        <w:spacing w:before="0" w:after="60"/>
      </w:pPr>
      <w:r>
        <w:rPr>
          <w:rFonts w:ascii="Calibri" w:hAnsi="Calibri"/>
          <w:color w:val="11212E"/>
          <w:sz w:val="20"/>
        </w:rPr>
        <w:t xml:space="preserve">•  Exports comptables normalisés, archivage légal, pistes d'audit complètes</w:t>
      </w:r>
    </w:p>
    <w:p>
      <w:pPr>
        <w:pStyle w:val="Heading3"/>
        <w:keepNext/>
        <w:spacing w:before="240" w:after="120"/>
      </w:pPr>
      <w:r>
        <w:rPr>
          <w:b/>
          <w:color w:val="11212E"/>
          <w:sz w:val="22"/>
        </w:rPr>
        <w:t xml:space="preserve">C5. Intégration événementielle (§10)</w:t>
      </w:r>
    </w:p>
    <w:p>
      <w:pPr>
        <w:ind w:left="340" w:hanging="200"/>
        <w:spacing w:before="0" w:after="60"/>
      </w:pPr>
      <w:r>
        <w:rPr>
          <w:rFonts w:ascii="Calibri" w:hAnsi="Calibri"/>
          <w:color w:val="11212E"/>
          <w:sz w:val="20"/>
        </w:rPr>
        <w:t xml:space="preserve">•  15 événements publiés : PaymentInitiated, PaymentPending, PaymentConfirmed, PaymentFailed, PaymentCancelled, PaymentRefunded, InvoiceIssued, InvoiceCorrected, WalletCredited, WalletDebited, InsuranceClaimSubmitted, InsuranceClaimApproved, InsuranceClaimRejected, SettlementExecuted, FraudSuspected</w:t>
      </w:r>
    </w:p>
    <w:p>
      <w:pPr>
        <w:ind w:left="340" w:hanging="200"/>
        <w:spacing w:before="0" w:after="60"/>
      </w:pPr>
      <w:r>
        <w:rPr>
          <w:rFonts w:ascii="Calibri" w:hAnsi="Calibri"/>
          <w:color w:val="11212E"/>
          <w:sz w:val="20"/>
        </w:rPr>
        <w:t xml:space="preserve">•  7 événements consommés : AppointmentConfirmed, ConsultationClosed, PrescriptionDelivered, AdmissionRegistered, DischargeCompleted, LaboratoryResultAvailable, AmbulanceDispatched</w:t>
      </w:r>
    </w:p>
    <w:p>
      <w:pPr>
        <w:ind w:left="340" w:hanging="200"/>
        <w:spacing w:before="0" w:after="60"/>
      </w:pPr>
      <w:r>
        <w:rPr>
          <w:rFonts w:ascii="Calibri" w:hAnsi="Calibri"/>
          <w:color w:val="11212E"/>
          <w:sz w:val="20"/>
        </w:rPr>
        <w:t xml:space="preserve">•  RabbitMQ, Saga et Outbox réels (aujourd'hui : Outbox limité au microservice paiement)</w:t>
      </w:r>
    </w:p>
    <w:p>
      <w:pPr>
        <w:pStyle w:val="Heading3"/>
        <w:keepNext/>
        <w:spacing w:before="240" w:after="120"/>
      </w:pPr>
      <w:r>
        <w:rPr>
          <w:b/>
          <w:color w:val="11212E"/>
          <w:sz w:val="22"/>
        </w:rPr>
        <w:t xml:space="preserve">C6 à C9. Reste du domaine</w:t>
      </w:r>
    </w:p>
    <w:p>
      <w:pPr>
        <w:ind w:left="340" w:hanging="200"/>
        <w:spacing w:before="0" w:after="60"/>
      </w:pPr>
      <w:r>
        <w:rPr>
          <w:rFonts w:ascii="Calibri" w:hAnsi="Calibri"/>
          <w:color w:val="11212E"/>
          <w:sz w:val="20"/>
        </w:rPr>
        <w:t xml:space="preserve">•  C6 — Rebranchement du flux rendez-vous : Laravel en simple proxy vers le microservice (dette ADR-013 ouverte)</w:t>
      </w:r>
    </w:p>
    <w:p>
      <w:pPr>
        <w:ind w:left="340" w:hanging="200"/>
        <w:spacing w:before="0" w:after="60"/>
      </w:pPr>
      <w:r>
        <w:rPr>
          <w:rFonts w:ascii="Calibri" w:hAnsi="Calibri"/>
          <w:color w:val="11212E"/>
          <w:sz w:val="20"/>
        </w:rPr>
        <w:t xml:space="preserve">•  C7 — Découpage §3.1 en services autonomes : billing, invoice, wallet, insurance, cnam, refund, settlement</w:t>
      </w:r>
    </w:p>
    <w:p>
      <w:pPr>
        <w:ind w:left="340" w:hanging="200"/>
        <w:spacing w:before="0" w:after="60"/>
      </w:pPr>
      <w:r>
        <w:rPr>
          <w:rFonts w:ascii="Calibri" w:hAnsi="Calibri"/>
          <w:color w:val="11212E"/>
          <w:sz w:val="20"/>
        </w:rPr>
        <w:t xml:space="preserve">•  C8 — Durcissement : certification PCI DSS, HSM/KMS réel, tests de charge, HA/DR, sandbox opérateurs</w:t>
      </w:r>
    </w:p>
    <w:p>
      <w:pPr>
        <w:ind w:left="340" w:hanging="200"/>
        <w:spacing w:before="0" w:after="60"/>
      </w:pPr>
      <w:r>
        <w:rPr>
          <w:rFonts w:ascii="Calibri" w:hAnsi="Calibri"/>
          <w:color w:val="11212E"/>
          <w:sz w:val="20"/>
        </w:rPr>
        <w:t xml:space="preserve">•  C9 — Dettes ouvertes au registre : crédit cashback gaté à OFF, Testcontainers absents, REVOKE/GRANT sans effet sous rôle propriétaire, relance (dunning) des mandats absente, endpoints d'exploitation non gardés par rôle, enums backend-only à promouvoir dans @masante/shared</w:t>
      </w:r>
    </w:p>
    <w:p>
      <w:r>
        <w:br w:type="page"/>
      </w:r>
    </w:p>
    <w:p>
      <w:pPr>
        <w:pStyle w:val="Heading2"/>
        <w:keepNext/>
        <w:spacing w:before="320" w:after="120"/>
      </w:pPr>
      <w:r>
        <w:rPr>
          <w:b/>
          <w:color w:val="1E6BB8"/>
          <w:sz w:val="26"/>
        </w:rPr>
        <w:t xml:space="preserve">D. CDC_05 — IA prédictive (1 service sur 14)</w:t>
      </w:r>
    </w:p>
    <w:p>
      <w:pPr>
        <w:spacing w:before="0" w:after="140"/>
      </w:pPr>
      <w:r>
        <w:rPr>
          <w:rFonts w:ascii="Calibri" w:hAnsi="Calibri"/>
          <w:color w:val="11212E"/>
          <w:sz w:val="20"/>
        </w:rPr>
        <w:t xml:space="preserve">Seul fraud-detection-service existe. Les treize autres microservices imposés restent à construire.</w:t>
      </w:r>
    </w:p>
    <w:tbl>
      <w:tblPr>
        <w:tblW w:w="9640" w:type="dxa"/>
        <w:tblBorders>
          <w:top w:val="single" w:sz="4" w:space="0" w:color="BCD6F0"/>
          <w:left w:val="single" w:sz="4" w:space="0" w:color="BCD6F0"/>
          <w:bottom w:val="single" w:sz="4" w:space="0" w:color="BCD6F0"/>
          <w:right w:val="single" w:sz="4" w:space="0" w:color="BCD6F0"/>
          <w:insideH w:val="single" w:sz="4" w:space="0" w:color="BCD6F0"/>
          <w:insideV w:val="single" w:sz="4" w:space="0" w:color="BCD6F0"/>
        </w:tblBorders>
        <w:tblLayout w:type="fixed"/>
      </w:tblPr>
      <w:tblGrid>
        <w:gridCol w:w="2300"/>
        <w:gridCol w:w="7340"/>
      </w:tblGrid>
      <w:tr>
        <w:trPr>
          <w:tblHeader/>
          <w:cantSplit/>
        </w:trPr>
        <w:tc>
          <w:tcPr>
            <w:tcW w:w="230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Service</w:t>
            </w:r>
          </w:p>
        </w:tc>
        <w:tc>
          <w:tcPr>
            <w:tcW w:w="734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Contenu imposé</w:t>
            </w:r>
          </w:p>
        </w:tc>
      </w:tr>
      <w:tr>
        <w:trPr>
          <w:cantSplit/>
        </w:trPr>
        <w:tc>
          <w:tcPr>
            <w:tcW w:w="2300" w:type="dxa"/>
            <w:vAlign w:val="center"/>
            <w:tcMar>
              <w:top w:w="60" w:type="dxa"/>
              <w:bottom w:w="60" w:type="dxa"/>
              <w:left w:w="90" w:type="dxa"/>
              <w:right w:w="90" w:type="dxa"/>
            </w:tcMar>
          </w:tcPr>
          <w:p>
            <w:pPr>
              <w:spacing w:before="20" w:after="20"/>
            </w:pPr>
            <w:r>
              <w:rPr>
                <w:rFonts w:ascii="Calibri" w:hAnsi="Calibri"/>
                <w:color w:val="11212E"/>
                <w:sz w:val="18"/>
              </w:rPr>
              <w:t xml:space="preserve">ai-gateway</w:t>
            </w:r>
          </w:p>
        </w:tc>
        <w:tc>
          <w:tcPr>
            <w:tcW w:w="7340" w:type="dxa"/>
            <w:vAlign w:val="center"/>
            <w:tcMar>
              <w:top w:w="60" w:type="dxa"/>
              <w:bottom w:w="60" w:type="dxa"/>
              <w:left w:w="90" w:type="dxa"/>
              <w:right w:w="90" w:type="dxa"/>
            </w:tcMar>
          </w:tcPr>
          <w:p>
            <w:pPr>
              <w:spacing w:before="20" w:after="20"/>
            </w:pPr>
            <w:r>
              <w:rPr>
                <w:rFonts w:ascii="Calibri" w:hAnsi="Calibri"/>
                <w:color w:val="11212E"/>
                <w:sz w:val="18"/>
              </w:rPr>
              <w:t xml:space="preserve">Point d'entrée unique, authentification par JWT de service, quotas, routage, journalisation</w:t>
            </w:r>
          </w:p>
        </w:tc>
      </w:tr>
      <w:tr>
        <w:trPr>
          <w:cantSplit/>
        </w:trPr>
        <w:tc>
          <w:tcPr>
            <w:tcW w:w="23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triage-service</w:t>
            </w:r>
          </w:p>
        </w:tc>
        <w:tc>
          <w:tcPr>
            <w:tcW w:w="73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Hybride règles (CDC_08) + XGBoost + SHAP, contrat §5.2, 4 niveaux patient et 5 niveaux hospitaliers, fiche de triage PDF + QR</w:t>
            </w:r>
          </w:p>
        </w:tc>
      </w:tr>
      <w:tr>
        <w:trPr>
          <w:cantSplit/>
        </w:trPr>
        <w:tc>
          <w:tcPr>
            <w:tcW w:w="2300" w:type="dxa"/>
            <w:vAlign w:val="center"/>
            <w:tcMar>
              <w:top w:w="60" w:type="dxa"/>
              <w:bottom w:w="60" w:type="dxa"/>
              <w:left w:w="90" w:type="dxa"/>
              <w:right w:w="90" w:type="dxa"/>
            </w:tcMar>
          </w:tcPr>
          <w:p>
            <w:pPr>
              <w:spacing w:before="20" w:after="20"/>
            </w:pPr>
            <w:r>
              <w:rPr>
                <w:rFonts w:ascii="Calibri" w:hAnsi="Calibri"/>
                <w:color w:val="11212E"/>
                <w:sz w:val="18"/>
              </w:rPr>
              <w:t xml:space="preserve">risk-prediction-service</w:t>
            </w:r>
          </w:p>
        </w:tc>
        <w:tc>
          <w:tcPr>
            <w:tcW w:w="7340" w:type="dxa"/>
            <w:vAlign w:val="center"/>
            <w:tcMar>
              <w:top w:w="60" w:type="dxa"/>
              <w:bottom w:w="60" w:type="dxa"/>
              <w:left w:w="90" w:type="dxa"/>
              <w:right w:w="90" w:type="dxa"/>
            </w:tcMar>
          </w:tcPr>
          <w:p>
            <w:pPr>
              <w:spacing w:before="20" w:after="20"/>
            </w:pPr>
            <w:r>
              <w:rPr>
                <w:rFonts w:ascii="Calibri" w:hAnsi="Calibri"/>
                <w:color w:val="11212E"/>
                <w:sz w:val="18"/>
              </w:rPr>
              <w:t xml:space="preserve">Risque cardiovasculaire, diabétique, réhospitalisation, infection, obstétrical, AVC, infarctus, septicémie, chutes, escarres, aggravation respiratoire, complications post-opératoires</w:t>
            </w:r>
          </w:p>
        </w:tc>
      </w:tr>
      <w:tr>
        <w:trPr>
          <w:cantSplit/>
        </w:trPr>
        <w:tc>
          <w:tcPr>
            <w:tcW w:w="23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clinical-scoring-service</w:t>
            </w:r>
          </w:p>
        </w:tc>
        <w:tc>
          <w:tcPr>
            <w:tcW w:w="73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NEWS2, qSOFA, Glasgow, scores cardiovasculaire, obstétrical et pédiatrique — recalculés après chaque nouvelle donnée clinique</w:t>
            </w:r>
          </w:p>
        </w:tc>
      </w:tr>
      <w:tr>
        <w:trPr>
          <w:cantSplit/>
        </w:trPr>
        <w:tc>
          <w:tcPr>
            <w:tcW w:w="2300" w:type="dxa"/>
            <w:vAlign w:val="center"/>
            <w:tcMar>
              <w:top w:w="60" w:type="dxa"/>
              <w:bottom w:w="60" w:type="dxa"/>
              <w:left w:w="90" w:type="dxa"/>
              <w:right w:w="90" w:type="dxa"/>
            </w:tcMar>
          </w:tcPr>
          <w:p>
            <w:pPr>
              <w:spacing w:before="20" w:after="20"/>
            </w:pPr>
            <w:r>
              <w:rPr>
                <w:rFonts w:ascii="Calibri" w:hAnsi="Calibri"/>
                <w:color w:val="11212E"/>
                <w:sz w:val="18"/>
              </w:rPr>
              <w:t xml:space="preserve">early-warning-service</w:t>
            </w:r>
          </w:p>
        </w:tc>
        <w:tc>
          <w:tcPr>
            <w:tcW w:w="7340" w:type="dxa"/>
            <w:vAlign w:val="center"/>
            <w:tcMar>
              <w:top w:w="60" w:type="dxa"/>
              <w:bottom w:w="60" w:type="dxa"/>
              <w:left w:w="90" w:type="dxa"/>
              <w:right w:w="90" w:type="dxa"/>
            </w:tcMar>
          </w:tcPr>
          <w:p>
            <w:pPr>
              <w:spacing w:before="20" w:after="20"/>
            </w:pPr>
            <w:r>
              <w:rPr>
                <w:rFonts w:ascii="Calibri" w:hAnsi="Calibri"/>
                <w:color w:val="11212E"/>
                <w:sz w:val="18"/>
              </w:rPr>
              <w:t xml:space="preserve">Chute de saturation, tachycardie sévère, hypotension, hyperthermie, convulsions, arrêt cardiaque, détresse respiratoire, anomalies ECG. Seuils configurables et réduction des faux positifs obligatoires</w:t>
            </w:r>
          </w:p>
        </w:tc>
      </w:tr>
      <w:tr>
        <w:trPr>
          <w:cantSplit/>
        </w:trPr>
        <w:tc>
          <w:tcPr>
            <w:tcW w:w="23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vision-service</w:t>
            </w:r>
          </w:p>
        </w:tc>
        <w:tc>
          <w:tcPr>
            <w:tcW w:w="73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Radiographie, IRM, scanner, échographie, dermatologie, ophtalmologie, ECG, EEG → fracture, tumeur, pneumonie, AVC, cancers cutanés, rétinopathie. Sortie avec suspicion, confiance, zones et validation_requise à vrai</w:t>
            </w:r>
          </w:p>
        </w:tc>
      </w:tr>
      <w:tr>
        <w:trPr>
          <w:cantSplit/>
        </w:trPr>
        <w:tc>
          <w:tcPr>
            <w:tcW w:w="2300" w:type="dxa"/>
            <w:vAlign w:val="center"/>
            <w:tcMar>
              <w:top w:w="60" w:type="dxa"/>
              <w:bottom w:w="60" w:type="dxa"/>
              <w:left w:w="90" w:type="dxa"/>
              <w:right w:w="90" w:type="dxa"/>
            </w:tcMar>
          </w:tcPr>
          <w:p>
            <w:pPr>
              <w:spacing w:before="20" w:after="20"/>
            </w:pPr>
            <w:r>
              <w:rPr>
                <w:rFonts w:ascii="Calibri" w:hAnsi="Calibri"/>
                <w:color w:val="11212E"/>
                <w:sz w:val="18"/>
              </w:rPr>
              <w:t xml:space="preserve">ocr-service</w:t>
            </w:r>
          </w:p>
        </w:tc>
        <w:tc>
          <w:tcPr>
            <w:tcW w:w="7340" w:type="dxa"/>
            <w:vAlign w:val="center"/>
            <w:tcMar>
              <w:top w:w="60" w:type="dxa"/>
              <w:bottom w:w="60" w:type="dxa"/>
              <w:left w:w="90" w:type="dxa"/>
              <w:right w:w="90" w:type="dxa"/>
            </w:tcMar>
          </w:tcPr>
          <w:p>
            <w:pPr>
              <w:spacing w:before="20" w:after="20"/>
            </w:pPr>
            <w:r>
              <w:rPr>
                <w:rFonts w:ascii="Calibri" w:hAnsi="Calibri"/>
                <w:color w:val="11212E"/>
                <w:sz w:val="18"/>
              </w:rPr>
              <w:t xml:space="preserve">Ordonnances, résultats de laboratoire, cartes d'assurance, carnets de vaccination, certificats, anciens dossiers</w:t>
            </w:r>
          </w:p>
        </w:tc>
      </w:tr>
      <w:tr>
        <w:trPr>
          <w:cantSplit/>
        </w:trPr>
        <w:tc>
          <w:tcPr>
            <w:tcW w:w="23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speech-service</w:t>
            </w:r>
          </w:p>
        </w:tc>
        <w:tc>
          <w:tcPr>
            <w:tcW w:w="73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Reconnaissance vocale (dictée médicale) et synthèse vocale (malvoyants, chatbot vocal, bornes interactives)</w:t>
            </w:r>
          </w:p>
        </w:tc>
      </w:tr>
      <w:tr>
        <w:trPr>
          <w:cantSplit/>
        </w:trPr>
        <w:tc>
          <w:tcPr>
            <w:tcW w:w="2300" w:type="dxa"/>
            <w:vAlign w:val="center"/>
            <w:tcMar>
              <w:top w:w="60" w:type="dxa"/>
              <w:bottom w:w="60" w:type="dxa"/>
              <w:left w:w="90" w:type="dxa"/>
              <w:right w:w="90" w:type="dxa"/>
            </w:tcMar>
          </w:tcPr>
          <w:p>
            <w:pPr>
              <w:spacing w:before="20" w:after="20"/>
            </w:pPr>
            <w:r>
              <w:rPr>
                <w:rFonts w:ascii="Calibri" w:hAnsi="Calibri"/>
                <w:color w:val="11212E"/>
                <w:sz w:val="18"/>
              </w:rPr>
              <w:t xml:space="preserve">recommendation-service</w:t>
            </w:r>
          </w:p>
        </w:tc>
        <w:tc>
          <w:tcPr>
            <w:tcW w:w="7340" w:type="dxa"/>
            <w:vAlign w:val="center"/>
            <w:tcMar>
              <w:top w:w="60" w:type="dxa"/>
              <w:bottom w:w="60" w:type="dxa"/>
              <w:left w:w="90" w:type="dxa"/>
              <w:right w:w="90" w:type="dxa"/>
            </w:tcMar>
          </w:tcPr>
          <w:p>
            <w:pPr>
              <w:spacing w:before="20" w:after="20"/>
            </w:pPr>
            <w:r>
              <w:rPr>
                <w:rFonts w:ascii="Calibri" w:hAnsi="Calibri"/>
                <w:color w:val="11212E"/>
                <w:sz w:val="18"/>
              </w:rPr>
              <w:t xml:space="preserve">Examens complémentaires, surveillance renforcée, rappels vaccinaux, dépistages, orientation vers un spécialiste — toutes explicables</w:t>
            </w:r>
          </w:p>
        </w:tc>
      </w:tr>
      <w:tr>
        <w:trPr>
          <w:cantSplit/>
        </w:trPr>
        <w:tc>
          <w:tcPr>
            <w:tcW w:w="23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interaction-service</w:t>
            </w:r>
          </w:p>
        </w:tc>
        <w:tc>
          <w:tcPr>
            <w:tcW w:w="73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Interactions médicamenteuses, contre-indications, adaptation des doses selon âge, poids et insuffisance rénale</w:t>
            </w:r>
          </w:p>
        </w:tc>
      </w:tr>
      <w:tr>
        <w:trPr>
          <w:cantSplit/>
        </w:trPr>
        <w:tc>
          <w:tcPr>
            <w:tcW w:w="2300" w:type="dxa"/>
            <w:vAlign w:val="center"/>
            <w:tcMar>
              <w:top w:w="60" w:type="dxa"/>
              <w:bottom w:w="60" w:type="dxa"/>
              <w:left w:w="90" w:type="dxa"/>
              <w:right w:w="90" w:type="dxa"/>
            </w:tcMar>
          </w:tcPr>
          <w:p>
            <w:pPr>
              <w:spacing w:before="20" w:after="20"/>
            </w:pPr>
            <w:r>
              <w:rPr>
                <w:rFonts w:ascii="Calibri" w:hAnsi="Calibri"/>
                <w:color w:val="11212E"/>
                <w:sz w:val="18"/>
              </w:rPr>
              <w:t xml:space="preserve">hospital-optimization-service</w:t>
            </w:r>
          </w:p>
        </w:tc>
        <w:tc>
          <w:tcPr>
            <w:tcW w:w="7340" w:type="dxa"/>
            <w:vAlign w:val="center"/>
            <w:tcMar>
              <w:top w:w="60" w:type="dxa"/>
              <w:bottom w:w="60" w:type="dxa"/>
              <w:left w:w="90" w:type="dxa"/>
              <w:right w:w="90" w:type="dxa"/>
            </w:tcMar>
          </w:tcPr>
          <w:p>
            <w:pPr>
              <w:spacing w:before="20" w:after="20"/>
            </w:pPr>
            <w:r>
              <w:rPr>
                <w:rFonts w:ascii="Calibri" w:hAnsi="Calibri"/>
                <w:color w:val="11212E"/>
                <w:sz w:val="18"/>
              </w:rPr>
              <w:t xml:space="preserve">Prévision d'affluence, gestion des lits, planning des médecins, temps d'attente, dispatch d'ambulances</w:t>
            </w:r>
          </w:p>
        </w:tc>
      </w:tr>
      <w:tr>
        <w:trPr>
          <w:cantSplit/>
        </w:trPr>
        <w:tc>
          <w:tcPr>
            <w:tcW w:w="23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epidemiology-service</w:t>
            </w:r>
          </w:p>
        </w:tc>
        <w:tc>
          <w:tcPr>
            <w:tcW w:w="73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Détection d'épidémies, zones à risque, tendances sanitaires</w:t>
            </w:r>
          </w:p>
        </w:tc>
      </w:tr>
      <w:tr>
        <w:trPr>
          <w:cantSplit/>
        </w:trPr>
        <w:tc>
          <w:tcPr>
            <w:tcW w:w="2300" w:type="dxa"/>
            <w:vAlign w:val="center"/>
            <w:tcMar>
              <w:top w:w="60" w:type="dxa"/>
              <w:bottom w:w="60" w:type="dxa"/>
              <w:left w:w="90" w:type="dxa"/>
              <w:right w:w="90" w:type="dxa"/>
            </w:tcMar>
          </w:tcPr>
          <w:p>
            <w:pPr>
              <w:spacing w:before="20" w:after="20"/>
            </w:pPr>
            <w:r>
              <w:rPr>
                <w:rFonts w:ascii="Calibri" w:hAnsi="Calibri"/>
                <w:color w:val="11212E"/>
                <w:sz w:val="18"/>
              </w:rPr>
              <w:t xml:space="preserve">mlops-service</w:t>
            </w:r>
          </w:p>
        </w:tc>
        <w:tc>
          <w:tcPr>
            <w:tcW w:w="7340" w:type="dxa"/>
            <w:vAlign w:val="center"/>
            <w:tcMar>
              <w:top w:w="60" w:type="dxa"/>
              <w:bottom w:w="60" w:type="dxa"/>
              <w:left w:w="90" w:type="dxa"/>
              <w:right w:w="90" w:type="dxa"/>
            </w:tcMar>
          </w:tcPr>
          <w:p>
            <w:pPr>
              <w:spacing w:before="20" w:after="20"/>
            </w:pPr>
            <w:r>
              <w:rPr>
                <w:rFonts w:ascii="Calibri" w:hAnsi="Calibri"/>
                <w:color w:val="11212E"/>
                <w:sz w:val="18"/>
              </w:rPr>
              <w:t xml:space="preserve">Surveillance de dérive, équité et biais (âge, sexe, région, urbain/rural), déploiement canary et shadow, rollback, événement ModelTrainingFinished</w:t>
            </w:r>
          </w:p>
        </w:tc>
      </w:tr>
    </w:tbl>
    <w:p>
      <w:pPr>
        <w:spacing w:before="0" w:after="100"/>
      </w:pPr>
    </w:p>
    <w:p>
      <w:pPr>
        <w:spacing w:before="0" w:after="120"/>
      </w:pPr>
      <w:r>
        <w:rPr>
          <w:rFonts w:ascii="Calibri" w:hAnsi="Calibri"/>
          <w:b/>
          <w:color w:val="33475A"/>
          <w:sz w:val="19"/>
        </w:rPr>
        <w:t xml:space="preserve">S'y ajoutent</w:t>
      </w:r>
      <w:r>
        <w:rPr>
          <w:rFonts w:ascii="Calibri" w:hAnsi="Calibri"/>
          <w:color w:val="33475A"/>
          <w:sz w:val="19"/>
        </w:rPr>
        <w:t xml:space="preserve"> : l'aide au diagnostic (hypothèses probabilisées avec éléments en faveur et en défaveur, CDC_11 §5.3) ; le pipeline d'apprentissage du §7.2 — anonymisation → validation par des médecins → jeu d'entraînement → tests → validation clinique → déploiement (aujourd'hui le modèle repose sur des données synthétiques) ; et les dettes du service de fraude : détection multi-comptes (device, IP) et entraînement sur données réelles.</w:t>
      </w:r>
    </w:p>
    <w:p>
      <w:pPr>
        <w:pStyle w:val="Heading2"/>
        <w:keepNext/>
        <w:spacing w:before="320" w:after="120"/>
      </w:pPr>
      <w:r>
        <w:rPr>
          <w:b/>
          <w:color w:val="1E6BB8"/>
          <w:sz w:val="26"/>
        </w:rPr>
        <w:t xml:space="preserve">E. CDC_07 — IA générative (intégralité)</w:t>
      </w:r>
    </w:p>
    <w:p>
      <w:pPr>
        <w:spacing w:before="100" w:after="40"/>
      </w:pPr>
      <w:r>
        <w:rPr>
          <w:rFonts w:ascii="Calibri" w:hAnsi="Calibri"/>
          <w:b/>
          <w:color w:val="1E6BB8"/>
          <w:sz w:val="20"/>
        </w:rPr>
        <w:t xml:space="preserve">E1. LLM privé auto-hébergé</w:t>
      </w:r>
    </w:p>
    <w:p>
      <w:pPr>
        <w:ind w:left="200" w:hanging="0"/>
        <w:spacing w:before="0" w:after="100"/>
      </w:pPr>
      <w:r>
        <w:rPr>
          <w:rFonts w:ascii="Calibri" w:hAnsi="Calibri"/>
          <w:color w:val="33475A"/>
          <w:sz w:val="19"/>
        </w:rPr>
        <w:t xml:space="preserve">Llama 3, Mistral, Qwen, DeepSeek, Gemma ou Phi ; abstraction LLMProvider (OCP) ; GPU dédiés, autoscaling, streaming token par token. ADR-005 encore à trancher</w:t>
      </w:r>
    </w:p>
    <w:p>
      <w:pPr>
        <w:spacing w:before="100" w:after="40"/>
      </w:pPr>
      <w:r>
        <w:rPr>
          <w:rFonts w:ascii="Calibri" w:hAnsi="Calibri"/>
          <w:b/>
          <w:color w:val="1E6BB8"/>
          <w:sz w:val="20"/>
        </w:rPr>
        <w:t xml:space="preserve">E2. Base vectorielle Qdrant</w:t>
      </w:r>
    </w:p>
    <w:p>
      <w:pPr>
        <w:ind w:left="200" w:hanging="0"/>
        <w:spacing w:before="0" w:after="100"/>
      </w:pPr>
      <w:r>
        <w:rPr>
          <w:rFonts w:ascii="Calibri" w:hAnsi="Calibri"/>
          <w:color w:val="33475A"/>
          <w:sz w:val="19"/>
        </w:rPr>
        <w:t xml:space="preserve">Cinq collections séparées par sensibilité (protocoles, referentiels, faq_publique, documents_etablissement, dossiers_patients) et dix métadonnées obligatoires par vecteur</w:t>
      </w:r>
    </w:p>
    <w:p>
      <w:pPr>
        <w:spacing w:before="100" w:after="40"/>
      </w:pPr>
      <w:r>
        <w:rPr>
          <w:rFonts w:ascii="Calibri" w:hAnsi="Calibri"/>
          <w:b/>
          <w:color w:val="1E6BB8"/>
          <w:sz w:val="20"/>
        </w:rPr>
        <w:t xml:space="preserve">E3. Embeddings</w:t>
      </w:r>
    </w:p>
    <w:p>
      <w:pPr>
        <w:ind w:left="200" w:hanging="0"/>
        <w:spacing w:before="0" w:after="100"/>
      </w:pPr>
      <w:r>
        <w:rPr>
          <w:rFonts w:ascii="Calibri" w:hAnsi="Calibri"/>
          <w:color w:val="33475A"/>
          <w:sz w:val="19"/>
        </w:rPr>
        <w:t xml:space="preserve">BGE, E5, Instructor, Jina ou Nomic — versionnés ; tout changement de modèle impose une réindexation complète</w:t>
      </w:r>
    </w:p>
    <w:p>
      <w:pPr>
        <w:spacing w:before="100" w:after="40"/>
      </w:pPr>
      <w:r>
        <w:rPr>
          <w:rFonts w:ascii="Calibri" w:hAnsi="Calibri"/>
          <w:b/>
          <w:color w:val="1E6BB8"/>
          <w:sz w:val="20"/>
        </w:rPr>
        <w:t xml:space="preserve">E4. Moteur RAG</w:t>
      </w:r>
    </w:p>
    <w:p>
      <w:pPr>
        <w:ind w:left="200" w:hanging="0"/>
        <w:spacing w:before="0" w:after="100"/>
      </w:pPr>
      <w:r>
        <w:rPr>
          <w:rFonts w:ascii="Calibri" w:hAnsi="Calibri"/>
          <w:color w:val="33475A"/>
          <w:sz w:val="19"/>
        </w:rPr>
        <w:t xml:space="preserve">Découpage documentaire, ingestion, recherche Top-K, citation des sources</w:t>
      </w:r>
    </w:p>
    <w:p>
      <w:pPr>
        <w:spacing w:before="100" w:after="40"/>
      </w:pPr>
      <w:r>
        <w:rPr>
          <w:rFonts w:ascii="Calibri" w:hAnsi="Calibri"/>
          <w:b/>
          <w:color w:val="1E6BB8"/>
          <w:sz w:val="20"/>
        </w:rPr>
        <w:t xml:space="preserve">E5. Filtrage d'accès RBAC/ABAC avant la requête vectorielle</w:t>
      </w:r>
    </w:p>
    <w:p>
      <w:pPr>
        <w:ind w:left="200" w:hanging="0"/>
        <w:spacing w:before="0" w:after="100"/>
      </w:pPr>
      <w:r>
        <w:rPr>
          <w:rFonts w:ascii="Calibri" w:hAnsi="Calibri"/>
          <w:color w:val="33475A"/>
          <w:sz w:val="19"/>
        </w:rPr>
        <w:t xml:space="preserve">Étape la plus sensible du corpus : le filtrage se fait au niveau de la requête, jamais en post-traitement</w:t>
      </w:r>
    </w:p>
    <w:p>
      <w:pPr>
        <w:spacing w:before="100" w:after="40"/>
      </w:pPr>
      <w:r>
        <w:rPr>
          <w:rFonts w:ascii="Calibri" w:hAnsi="Calibri"/>
          <w:b/>
          <w:color w:val="1E6BB8"/>
          <w:sz w:val="20"/>
        </w:rPr>
        <w:t xml:space="preserve">E6. Prompt Builder</w:t>
      </w:r>
    </w:p>
    <w:p>
      <w:pPr>
        <w:ind w:left="200" w:hanging="0"/>
        <w:spacing w:before="0" w:after="100"/>
      </w:pPr>
      <w:r>
        <w:rPr>
          <w:rFonts w:ascii="Calibri" w:hAnsi="Calibri"/>
          <w:color w:val="33475A"/>
          <w:sz w:val="19"/>
        </w:rPr>
        <w:t xml:space="preserve">Prompts système, utilisateur, contextuel et de sécurité — versionnés et stockés, jamais dispersés en dur dans le code</w:t>
      </w:r>
    </w:p>
    <w:p>
      <w:pPr>
        <w:spacing w:before="100" w:after="40"/>
      </w:pPr>
      <w:r>
        <w:rPr>
          <w:rFonts w:ascii="Calibri" w:hAnsi="Calibri"/>
          <w:b/>
          <w:color w:val="1E6BB8"/>
          <w:sz w:val="20"/>
        </w:rPr>
        <w:t xml:space="preserve">E7. Garde-fous techniques</w:t>
      </w:r>
    </w:p>
    <w:p>
      <w:pPr>
        <w:ind w:left="200" w:hanging="0"/>
        <w:spacing w:before="0" w:after="100"/>
      </w:pPr>
      <w:r>
        <w:rPr>
          <w:rFonts w:ascii="Calibri" w:hAnsi="Calibri"/>
          <w:color w:val="33475A"/>
          <w:sz w:val="19"/>
        </w:rPr>
        <w:t xml:space="preserve">Filtrage d'entrée (injection de prompt, exfiltration), filtrage de sortie (diagnostic affirmatif, posologie non validée, données d'un tiers), refus contrôlé quand l'information est absente des sources</w:t>
      </w:r>
    </w:p>
    <w:p>
      <w:pPr>
        <w:spacing w:before="100" w:after="40"/>
      </w:pPr>
      <w:r>
        <w:rPr>
          <w:rFonts w:ascii="Calibri" w:hAnsi="Calibri"/>
          <w:b/>
          <w:color w:val="1E6BB8"/>
          <w:sz w:val="20"/>
        </w:rPr>
        <w:t xml:space="preserve">E8. Cas d'usage</w:t>
      </w:r>
    </w:p>
    <w:p>
      <w:pPr>
        <w:ind w:left="200" w:hanging="0"/>
        <w:spacing w:before="0" w:after="100"/>
      </w:pPr>
      <w:r>
        <w:rPr>
          <w:rFonts w:ascii="Calibri" w:hAnsi="Calibri"/>
          <w:color w:val="33475A"/>
          <w:sz w:val="19"/>
        </w:rPr>
        <w:t xml:space="preserve">Patient : vulgarisation, explication de résultats et d'ordonnance. Médecin : recherche clinique en langage naturel, résumé de dossier volumineux, génération de compte rendu de consultation, compte rendu opératoire, lettre de sortie, certificat médical et ordonnance préremplie — toujours en brouillon. Infirmier : transmissions. Pharmacien : interactions et génériques. Administration : documents et synthèses</w:t>
      </w:r>
    </w:p>
    <w:p>
      <w:pPr>
        <w:spacing w:before="100" w:after="40"/>
      </w:pPr>
      <w:r>
        <w:rPr>
          <w:rFonts w:ascii="Calibri" w:hAnsi="Calibri"/>
          <w:b/>
          <w:color w:val="1E6BB8"/>
          <w:sz w:val="20"/>
        </w:rPr>
        <w:t xml:space="preserve">E9. Fine-tuning</w:t>
      </w:r>
    </w:p>
    <w:p>
      <w:pPr>
        <w:ind w:left="200" w:hanging="0"/>
        <w:spacing w:before="0" w:after="100"/>
      </w:pPr>
      <w:r>
        <w:rPr>
          <w:rFonts w:ascii="Calibri" w:hAnsi="Calibri"/>
          <w:color w:val="33475A"/>
          <w:sz w:val="19"/>
        </w:rPr>
        <w:t xml:space="preserve">Collecte → nettoyage → anonymisation → annotation → entraînement → validation clinique ; évaluation du taux d'hallucination avant toute mise en production</w:t>
      </w:r>
    </w:p>
    <w:p>
      <w:pPr>
        <w:spacing w:before="100" w:after="40"/>
      </w:pPr>
      <w:r>
        <w:rPr>
          <w:rFonts w:ascii="Calibri" w:hAnsi="Calibri"/>
          <w:b/>
          <w:color w:val="1E6BB8"/>
          <w:sz w:val="20"/>
        </w:rPr>
        <w:t xml:space="preserve">E10. Cache sémantique et performance</w:t>
      </w:r>
    </w:p>
    <w:p>
      <w:pPr>
        <w:ind w:left="200" w:hanging="0"/>
        <w:spacing w:before="0" w:after="100"/>
      </w:pPr>
      <w:r>
        <w:rPr>
          <w:rFonts w:ascii="Calibri" w:hAnsi="Calibri"/>
          <w:color w:val="33475A"/>
          <w:sz w:val="19"/>
        </w:rPr>
        <w:t xml:space="preserve">Première réponse en streaming sous 2 secondes</w:t>
      </w:r>
    </w:p>
    <w:p>
      <w:pPr>
        <w:spacing w:before="100" w:after="40"/>
      </w:pPr>
      <w:r>
        <w:rPr>
          <w:rFonts w:ascii="Calibri" w:hAnsi="Calibri"/>
          <w:b/>
          <w:color w:val="1E6BB8"/>
          <w:sz w:val="20"/>
        </w:rPr>
        <w:t xml:space="preserve">E11. Tests d'autorisation croisée</w:t>
      </w:r>
    </w:p>
    <w:p>
      <w:pPr>
        <w:ind w:left="200" w:hanging="0"/>
        <w:spacing w:before="0" w:after="100"/>
      </w:pPr>
      <w:r>
        <w:rPr>
          <w:rFonts w:ascii="Calibri" w:hAnsi="Calibri"/>
          <w:color w:val="33475A"/>
          <w:sz w:val="19"/>
        </w:rPr>
        <w:t xml:space="preserve">Un médecin ne doit jamais récupérer le document d'un patient qu'il ne suit pas</w:t>
      </w:r>
    </w:p>
    <w:p>
      <w:r>
        <w:br w:type="page"/>
      </w:r>
    </w:p>
    <w:p>
      <w:pPr>
        <w:pStyle w:val="Heading2"/>
        <w:keepNext/>
        <w:spacing w:before="320" w:after="120"/>
      </w:pPr>
      <w:r>
        <w:rPr>
          <w:b/>
          <w:color w:val="1E6BB8"/>
          <w:sz w:val="26"/>
        </w:rPr>
        <w:t xml:space="preserve">F. CDC_11 — Applications métier</w:t>
      </w:r>
    </w:p>
    <w:p>
      <w:pPr>
        <w:pStyle w:val="Heading3"/>
        <w:keepNext/>
        <w:spacing w:before="240" w:after="120"/>
      </w:pPr>
      <w:r>
        <w:rPr>
          <w:b/>
          <w:color w:val="11212E"/>
          <w:sz w:val="22"/>
        </w:rPr>
        <w:t xml:space="preserve">F1. Onboarding des établissements (deux méthodes)</w:t>
      </w:r>
    </w:p>
    <w:p>
      <w:pPr>
        <w:ind w:left="340" w:hanging="200"/>
        <w:spacing w:before="0" w:after="60"/>
      </w:pPr>
      <w:r>
        <w:rPr>
          <w:rFonts w:ascii="Calibri" w:hAnsi="Calibri"/>
          <w:color w:val="11212E"/>
          <w:sz w:val="20"/>
        </w:rPr>
        <w:t xml:space="preserve">•  Méthode 1 (partielle) : création par l'administrateur → accès transmis au directeur → l'établissement renseigne lui-même ses données</w:t>
      </w:r>
    </w:p>
    <w:p>
      <w:pPr>
        <w:ind w:left="340" w:hanging="200"/>
        <w:spacing w:before="0" w:after="60"/>
      </w:pPr>
      <w:r>
        <w:rPr>
          <w:rFonts w:ascii="Calibri" w:hAnsi="Calibri"/>
          <w:color w:val="11212E"/>
          <w:sz w:val="20"/>
        </w:rPr>
        <w:t xml:space="preserve">•  Méthode 2 (absente) : demande d'inscription → formulaire → vérification par l'équipe → validation → publication</w:t>
      </w:r>
    </w:p>
    <w:p>
      <w:pPr>
        <w:ind w:left="340" w:hanging="200"/>
        <w:spacing w:before="0" w:after="60"/>
      </w:pPr>
      <w:r>
        <w:rPr>
          <w:rFonts w:ascii="Calibri" w:hAnsi="Calibri"/>
          <w:color w:val="11212E"/>
          <w:sz w:val="20"/>
        </w:rPr>
        <w:t xml:space="preserve">•  Formulaires : informations générales (type public / privé / universitaire / militaire ; six catégories), informations légales (numéro d'autorisation, numéro fiscal, registre du commerce, date de création, statut, licence d'exploitation, autorité de tutelle), coordonnées avec GPS, horaires 7 jours plus urgence 24h/24, images (logo, salle d'attente, bloc opératoire, accueil, parking), description, mission et valeurs</w:t>
      </w:r>
    </w:p>
    <w:p>
      <w:pPr>
        <w:ind w:left="340" w:hanging="200"/>
        <w:spacing w:before="0" w:after="60"/>
      </w:pPr>
      <w:r>
        <w:rPr>
          <w:rFonts w:ascii="Calibri" w:hAnsi="Calibri"/>
          <w:color w:val="11212E"/>
          <w:sz w:val="20"/>
        </w:rPr>
        <w:t xml:space="preserve">•  17 services cochables, chacun avec tarif, durée moyenne et responsable</w:t>
      </w:r>
    </w:p>
    <w:p>
      <w:pPr>
        <w:ind w:left="340" w:hanging="200"/>
        <w:spacing w:before="0" w:after="60"/>
      </w:pPr>
      <w:r>
        <w:rPr>
          <w:rFonts w:ascii="Calibri" w:hAnsi="Calibri"/>
          <w:color w:val="11212E"/>
          <w:sz w:val="20"/>
        </w:rPr>
        <w:t xml:space="preserve">•  Spécialités en table séparée ; médecins avec 13 champs dont numéro d'ordre, langues parlées, consultation en ligne et physique</w:t>
      </w:r>
    </w:p>
    <w:p>
      <w:pPr>
        <w:pStyle w:val="Heading3"/>
        <w:keepNext/>
        <w:spacing w:before="240" w:after="120"/>
      </w:pPr>
      <w:r>
        <w:rPr>
          <w:b/>
          <w:color w:val="11212E"/>
          <w:sz w:val="22"/>
        </w:rPr>
        <w:t xml:space="preserve">F2. Application Patient (partielle)</w:t>
      </w:r>
    </w:p>
    <w:p>
      <w:pPr>
        <w:ind w:left="340" w:hanging="200"/>
        <w:spacing w:before="0" w:after="60"/>
      </w:pPr>
      <w:r>
        <w:rPr>
          <w:rFonts w:ascii="Calibri" w:hAnsi="Calibri"/>
          <w:color w:val="11212E"/>
          <w:sz w:val="20"/>
        </w:rPr>
        <w:t xml:space="preserve">•  Manquent : téléconsultation (vidéo, chat, partage de documents, paiement), rappels de médicaments, commande en pharmacie, vérification des interactions par IA, personnes autorisées et consentement, messagerie, notifications push, historique complet</w:t>
      </w:r>
    </w:p>
    <w:p>
      <w:pPr>
        <w:pStyle w:val="Heading3"/>
        <w:keepNext/>
        <w:spacing w:before="240" w:after="120"/>
      </w:pPr>
      <w:r>
        <w:rPr>
          <w:b/>
          <w:color w:val="11212E"/>
          <w:sz w:val="22"/>
        </w:rPr>
        <w:t xml:space="preserve">F3. Application Médecin (partielle — portail Blade à migrer vers Next, ADR-011)</w:t>
      </w:r>
    </w:p>
    <w:p>
      <w:pPr>
        <w:ind w:left="340" w:hanging="200"/>
        <w:spacing w:before="0" w:after="60"/>
      </w:pPr>
      <w:r>
        <w:rPr>
          <w:rFonts w:ascii="Calibri" w:hAnsi="Calibri"/>
          <w:color w:val="11212E"/>
          <w:sz w:val="20"/>
        </w:rPr>
        <w:t xml:space="preserve">•  Manquent : consultation numérique (observations → diagnostic CIM → demandes d'examens → prescription), aide au diagnostic IA, prescription électronique (référentiel national, posologie, durée, vérifications interactions / allergies / contre-indications, signature électronique, transmission automatique à la pharmacie), collaboration et avis spécialiste, demandes d'examens, réception des résultats, messagerie sécurisée, statistiques</w:t>
      </w:r>
    </w:p>
    <w:p>
      <w:pPr>
        <w:pStyle w:val="Heading3"/>
        <w:keepNext/>
        <w:spacing w:before="240" w:after="120"/>
      </w:pPr>
      <w:r>
        <w:rPr>
          <w:b/>
          <w:color w:val="11212E"/>
          <w:sz w:val="22"/>
        </w:rPr>
        <w:t xml:space="preserve">F4. Application Infirmier (intégralité)</w:t>
      </w:r>
    </w:p>
    <w:p>
      <w:pPr>
        <w:ind w:left="340" w:hanging="200"/>
        <w:spacing w:before="0" w:after="60"/>
      </w:pPr>
      <w:r>
        <w:rPr>
          <w:rFonts w:ascii="Calibri" w:hAnsi="Calibri"/>
          <w:color w:val="11212E"/>
          <w:sz w:val="20"/>
        </w:rPr>
        <w:t xml:space="preserve">•  Patients hospitalisés par service, chambre et lit · saisie des constantes vitales (température, tension, glycémie, fréquence cardiaque, SpO2) · administration des traitements avec médicament, heure, dose et signature infirmier · alertes intelligentes dont les seuils sont évalués par le backend · planning de soins · transmissions</w:t>
      </w:r>
    </w:p>
    <w:p>
      <w:pPr>
        <w:pStyle w:val="Heading3"/>
        <w:keepNext/>
        <w:spacing w:before="240" w:after="120"/>
      </w:pPr>
      <w:r>
        <w:rPr>
          <w:b/>
          <w:color w:val="11212E"/>
          <w:sz w:val="22"/>
        </w:rPr>
        <w:t xml:space="preserve">F5. Application Pharmacien (intégralité)</w:t>
      </w:r>
    </w:p>
    <w:p>
      <w:pPr>
        <w:ind w:left="340" w:hanging="200"/>
        <w:spacing w:before="0" w:after="60"/>
      </w:pPr>
      <w:r>
        <w:rPr>
          <w:rFonts w:ascii="Calibri" w:hAnsi="Calibri"/>
          <w:color w:val="11212E"/>
          <w:sz w:val="20"/>
        </w:rPr>
        <w:t xml:space="preserve">•  Ordonnances électroniques reçues · vérifications (authenticité, disponibilité, interactions, contre-indications) · stock (entrées, sorties, péremption, alertes de rupture, stock minimum) · fiche pharmacie (pharmacien responsable, licence, livraison, rayon) · fiche médicament (DCI, code-barres, forme, TVA, ordonnance obligatoire) · commandes clients · livraisons · traçabilité nationale contre les médicaments falsifiés · API d'intégration pour les logiciels de caisse, stock et ERP</w:t>
      </w:r>
    </w:p>
    <w:p>
      <w:pPr>
        <w:pStyle w:val="Heading3"/>
        <w:keepNext/>
        <w:spacing w:before="240" w:after="120"/>
      </w:pPr>
      <w:r>
        <w:rPr>
          <w:b/>
          <w:color w:val="11212E"/>
          <w:sz w:val="22"/>
        </w:rPr>
        <w:t xml:space="preserve">F6. Application Laboratoire (intégralité)</w:t>
      </w:r>
    </w:p>
    <w:p>
      <w:pPr>
        <w:ind w:left="340" w:hanging="200"/>
        <w:spacing w:before="0" w:after="60"/>
      </w:pPr>
      <w:r>
        <w:rPr>
          <w:rFonts w:ascii="Calibri" w:hAnsi="Calibri"/>
          <w:color w:val="11212E"/>
          <w:sz w:val="20"/>
        </w:rPr>
        <w:t xml:space="preserve">•  Demandes d'examens · prélèvements avec scan code-barres/QR · saisie et import des résultats · validation biologiste · publication vers le dossier patient · catalogue des analyses · connexion aux automates biologiques</w:t>
      </w:r>
    </w:p>
    <w:p>
      <w:pPr>
        <w:pStyle w:val="Heading3"/>
        <w:keepNext/>
        <w:spacing w:before="240" w:after="120"/>
      </w:pPr>
      <w:r>
        <w:rPr>
          <w:b/>
          <w:color w:val="11212E"/>
          <w:sz w:val="22"/>
        </w:rPr>
        <w:t xml:space="preserve">F7. Application Radiologie (intégralité)</w:t>
      </w:r>
    </w:p>
    <w:p>
      <w:pPr>
        <w:ind w:left="340" w:hanging="200"/>
        <w:spacing w:before="0" w:after="60"/>
      </w:pPr>
      <w:r>
        <w:rPr>
          <w:rFonts w:ascii="Calibri" w:hAnsi="Calibri"/>
          <w:color w:val="11212E"/>
          <w:sz w:val="20"/>
        </w:rPr>
        <w:t xml:space="preserve">•  DICOM et PACS · radiographie, scanner, IRM, échographie · visionneuse DICOM mobile et web · vision IA (suspicion, score de confiance, validation obligatoire par le radiologue) · comparaison d'examens · comptes rendus signés électroniquement</w:t>
      </w:r>
    </w:p>
    <w:p>
      <w:pPr>
        <w:pStyle w:val="Heading3"/>
        <w:keepNext/>
        <w:spacing w:before="240" w:after="120"/>
      </w:pPr>
      <w:r>
        <w:rPr>
          <w:b/>
          <w:color w:val="11212E"/>
          <w:sz w:val="22"/>
        </w:rPr>
        <w:t xml:space="preserve">F8. Application Ambulance et urgences</w:t>
      </w:r>
    </w:p>
    <w:p>
      <w:pPr>
        <w:ind w:left="340" w:hanging="200"/>
        <w:spacing w:before="0" w:after="60"/>
      </w:pPr>
      <w:r>
        <w:rPr>
          <w:rFonts w:ascii="Calibri" w:hAnsi="Calibri"/>
          <w:color w:val="11212E"/>
          <w:sz w:val="20"/>
        </w:rPr>
        <w:t xml:space="preserve">•  Appels d'urgence · dispatch de l'ambulance disponible la plus proche · géolocalisation GPS temps réel et routage · optimisation IA (trafic, hôpital adapté, temps d'arrivée estimé) · transfert du patient · suivi sur carte côté patient. L'existant se limite aux alertes SOS simples</w:t>
      </w:r>
    </w:p>
    <w:p>
      <w:pPr>
        <w:pStyle w:val="Heading3"/>
        <w:keepNext/>
        <w:spacing w:before="240" w:after="120"/>
      </w:pPr>
      <w:r>
        <w:rPr>
          <w:b/>
          <w:color w:val="11212E"/>
          <w:sz w:val="22"/>
        </w:rPr>
        <w:t xml:space="preserve">F9. Hospitalisation</w:t>
      </w:r>
    </w:p>
    <w:p>
      <w:pPr>
        <w:ind w:left="340" w:hanging="200"/>
        <w:spacing w:before="0" w:after="60"/>
      </w:pPr>
      <w:r>
        <w:rPr>
          <w:rFonts w:ascii="Calibri" w:hAnsi="Calibri"/>
          <w:color w:val="11212E"/>
          <w:sz w:val="20"/>
        </w:rPr>
        <w:t xml:space="preserve">•  Admission · affectation chambre et lit · soins et constantes · traitements administrés · surveillance et alertes · sortie · synthèse d'hospitalisation · facturation</w:t>
      </w:r>
    </w:p>
    <w:p>
      <w:pPr>
        <w:pStyle w:val="Heading3"/>
        <w:keepNext/>
        <w:spacing w:before="240" w:after="120"/>
      </w:pPr>
      <w:r>
        <w:rPr>
          <w:b/>
          <w:color w:val="11212E"/>
          <w:sz w:val="22"/>
        </w:rPr>
        <w:t xml:space="preserve">F10 à F14. Administration et portails</w:t>
      </w:r>
    </w:p>
    <w:p>
      <w:pPr>
        <w:ind w:left="340" w:hanging="200"/>
        <w:spacing w:before="0" w:after="60"/>
      </w:pPr>
      <w:r>
        <w:rPr>
          <w:rFonts w:ascii="Calibri" w:hAnsi="Calibri"/>
          <w:color w:val="11212E"/>
          <w:sz w:val="20"/>
        </w:rPr>
        <w:t xml:space="preserve">•  F10 — Administration d'établissement : manquent chambres et lits, équipements, personnel et RH, rapports financiers, audit et permissions</w:t>
      </w:r>
    </w:p>
    <w:p>
      <w:pPr>
        <w:ind w:left="340" w:hanging="200"/>
        <w:spacing w:before="0" w:after="60"/>
      </w:pPr>
      <w:r>
        <w:rPr>
          <w:rFonts w:ascii="Calibri" w:hAnsi="Calibri"/>
          <w:color w:val="11212E"/>
          <w:sz w:val="20"/>
        </w:rPr>
        <w:t xml:space="preserve">•  F11 — Super Administration : manquent le traitement des demandes d'inscription, la gestion des référentiels nationaux, la supervision, les statistiques nationales</w:t>
      </w:r>
    </w:p>
    <w:p>
      <w:pPr>
        <w:ind w:left="340" w:hanging="200"/>
        <w:spacing w:before="0" w:after="60"/>
      </w:pPr>
      <w:r>
        <w:rPr>
          <w:rFonts w:ascii="Calibri" w:hAnsi="Calibri"/>
          <w:color w:val="11212E"/>
          <w:sz w:val="20"/>
        </w:rPr>
        <w:t xml:space="preserve">•  F12 — Portail Ministère : pilotage national (patients, maladies fréquentes, occupation des hôpitaux, disponibilité des médicaments), surveillance épidémiologique par IA (épidémies, zones à risque, tendances), exports et rapports, Rule-005 sur toute sortie d'IA</w:t>
      </w:r>
    </w:p>
    <w:p>
      <w:pPr>
        <w:ind w:left="340" w:hanging="200"/>
        <w:spacing w:before="0" w:after="60"/>
      </w:pPr>
      <w:r>
        <w:rPr>
          <w:rFonts w:ascii="Calibri" w:hAnsi="Calibri"/>
          <w:color w:val="11212E"/>
          <w:sz w:val="20"/>
        </w:rPr>
        <w:t xml:space="preserve">•  F13 — Portail Statistiques : tableaux de bord BI (santé publique, budget, performance, population), graphiques interactifs, exports</w:t>
      </w:r>
    </w:p>
    <w:p>
      <w:pPr>
        <w:ind w:left="340" w:hanging="200"/>
        <w:spacing w:before="0" w:after="60"/>
      </w:pPr>
      <w:r>
        <w:rPr>
          <w:rFonts w:ascii="Calibri" w:hAnsi="Calibri"/>
          <w:color w:val="11212E"/>
          <w:sz w:val="20"/>
        </w:rPr>
        <w:t xml:space="preserve">•  F14 — Console IA MASANTÉ : diagnostic assisté, prédiction médicale, optimisation hospitalière, détection de fraude, assistant médical conversationnel</w:t>
      </w:r>
    </w:p>
    <w:p>
      <w:pPr>
        <w:pStyle w:val="Heading3"/>
        <w:keepNext/>
        <w:spacing w:before="240" w:after="120"/>
      </w:pPr>
      <w:r>
        <w:rPr>
          <w:b/>
          <w:color w:val="11212E"/>
          <w:sz w:val="22"/>
        </w:rPr>
        <w:t xml:space="preserve">F15. Triage — refonte conforme (existant non conforme)</w:t>
      </w:r>
    </w:p>
    <w:p>
      <w:pPr>
        <w:ind w:left="340" w:hanging="200"/>
        <w:spacing w:before="0" w:after="60"/>
      </w:pPr>
      <w:r>
        <w:rPr>
          <w:rFonts w:ascii="Calibri" w:hAnsi="Calibri"/>
          <w:color w:val="11212E"/>
          <w:sz w:val="20"/>
        </w:rPr>
        <w:t xml:space="preserve">•  Questionnaire dynamique piloté par le backend : aucune règle médicale dans le mobile</w:t>
      </w:r>
    </w:p>
    <w:p>
      <w:pPr>
        <w:ind w:left="340" w:hanging="200"/>
        <w:spacing w:before="0" w:after="60"/>
      </w:pPr>
      <w:r>
        <w:rPr>
          <w:rFonts w:ascii="Calibri" w:hAnsi="Calibri"/>
          <w:color w:val="11212E"/>
          <w:sz w:val="20"/>
        </w:rPr>
        <w:t xml:space="preserve">•  Saisies : symptômes, schéma du corps interactif, intensité de 0 à 10, durée, évolution, âge, sexe, grossesse, maladies chroniques, allergies, médicaments en cours</w:t>
      </w:r>
    </w:p>
    <w:p>
      <w:pPr>
        <w:ind w:left="340" w:hanging="200"/>
        <w:spacing w:before="0" w:after="60"/>
      </w:pPr>
      <w:r>
        <w:rPr>
          <w:rFonts w:ascii="Calibri" w:hAnsi="Calibri"/>
          <w:color w:val="11212E"/>
          <w:sz w:val="20"/>
        </w:rPr>
        <w:t xml:space="preserve">•  Quatre niveaux patient (aujourd'hui trois) et cinq niveaux hospitaliers</w:t>
      </w:r>
    </w:p>
    <w:p>
      <w:pPr>
        <w:ind w:left="340" w:hanging="200"/>
        <w:spacing w:before="0" w:after="60"/>
      </w:pPr>
      <w:r>
        <w:rPr>
          <w:rFonts w:ascii="Calibri" w:hAnsi="Calibri"/>
          <w:color w:val="11212E"/>
          <w:sz w:val="20"/>
        </w:rPr>
        <w:t xml:space="preserve">•  Fiche de triage : numéro, symptômes déclarés, réponses, niveau, recommandation, service recommandé, hôpitaux proches proposant ce service, QR Code, mention obligatoire, PDF téléchargeable et partageable, transmission au médecin</w:t>
      </w:r>
    </w:p>
    <w:p>
      <w:pPr>
        <w:ind w:left="340" w:hanging="200"/>
        <w:spacing w:before="0" w:after="60"/>
      </w:pPr>
      <w:r>
        <w:rPr>
          <w:rFonts w:ascii="Calibri" w:hAnsi="Calibri"/>
          <w:color w:val="11212E"/>
          <w:sz w:val="20"/>
        </w:rPr>
        <w:t xml:space="preserve">•  Suppression des seuils codés en dur dans TriageService.php</w:t>
      </w:r>
    </w:p>
    <w:p>
      <w:pPr>
        <w:ind w:left="340" w:hanging="200"/>
        <w:spacing w:before="0" w:after="60"/>
      </w:pPr>
      <w:r>
        <w:rPr>
          <w:rFonts w:ascii="Calibri" w:hAnsi="Calibri"/>
          <w:color w:val="11212E"/>
          <w:sz w:val="20"/>
        </w:rPr>
        <w:t xml:space="preserve">•  Lien avec les pharmacies : médicaments en vente libre uniquement ; interdiction absolue d'acheter un médicament sous ordonnance sur la seule base du triage</w:t>
      </w:r>
    </w:p>
    <w:p>
      <w:pPr>
        <w:pStyle w:val="Heading3"/>
        <w:keepNext/>
        <w:spacing w:before="240" w:after="120"/>
      </w:pPr>
      <w:r>
        <w:rPr>
          <w:b/>
          <w:color w:val="11212E"/>
          <w:sz w:val="22"/>
        </w:rPr>
        <w:t xml:space="preserve">F16. Achat de médicament</w:t>
      </w:r>
    </w:p>
    <w:p>
      <w:pPr>
        <w:ind w:left="340" w:hanging="200"/>
        <w:spacing w:before="0" w:after="60"/>
      </w:pPr>
      <w:r>
        <w:rPr>
          <w:rFonts w:ascii="Calibri" w:hAnsi="Calibri"/>
          <w:color w:val="11212E"/>
          <w:sz w:val="20"/>
        </w:rPr>
        <w:t xml:space="preserve">•  Recherche → pharmacies disposant du stock avec itinéraire OpenStreetMap → panier → retrait ou livraison → paiement → commande → suivi ; si ordonnance obligatoire : import de l'ordonnance puis validation du pharmacien</w:t>
      </w:r>
    </w:p>
    <w:p>
      <w:r>
        <w:br w:type="page"/>
      </w:r>
    </w:p>
    <w:p>
      <w:pPr>
        <w:pStyle w:val="Heading2"/>
        <w:keepNext/>
        <w:spacing w:before="320" w:after="120"/>
      </w:pPr>
      <w:r>
        <w:rPr>
          <w:b/>
          <w:color w:val="1E6BB8"/>
          <w:sz w:val="26"/>
        </w:rPr>
        <w:t xml:space="preserve">G. CDC_03 — Backend</w:t>
      </w:r>
    </w:p>
    <w:p>
      <w:pPr>
        <w:spacing w:before="100" w:after="40"/>
      </w:pPr>
      <w:r>
        <w:rPr>
          <w:rFonts w:ascii="Calibri" w:hAnsi="Calibri"/>
          <w:b/>
          <w:color w:val="1E6BB8"/>
          <w:sz w:val="20"/>
        </w:rPr>
        <w:t xml:space="preserve">G1. Architecture événementielle</w:t>
      </w:r>
    </w:p>
    <w:p>
      <w:pPr>
        <w:ind w:left="200" w:hanging="0"/>
        <w:spacing w:before="0" w:after="100"/>
      </w:pPr>
      <w:r>
        <w:rPr>
          <w:rFonts w:ascii="Calibri" w:hAnsi="Calibri"/>
          <w:color w:val="33475A"/>
          <w:sz w:val="19"/>
        </w:rPr>
        <w:t xml:space="preserve">RabbitMQ pour les événements métier et Kafka pour les flux massifs, format d'événement normalisé, catalogue d'une trentaine d'événements, huit règles d'implémentation, Dead Letter Queues, versionnage, consommateurs idempotents</w:t>
      </w:r>
    </w:p>
    <w:p>
      <w:pPr>
        <w:spacing w:before="100" w:after="40"/>
      </w:pPr>
      <w:r>
        <w:rPr>
          <w:rFonts w:ascii="Calibri" w:hAnsi="Calibri"/>
          <w:b/>
          <w:color w:val="1E6BB8"/>
          <w:sz w:val="20"/>
        </w:rPr>
        <w:t xml:space="preserve">G2. Saga et Outbox côté Laravel</w:t>
      </w:r>
    </w:p>
    <w:p>
      <w:pPr>
        <w:ind w:left="200" w:hanging="0"/>
        <w:spacing w:before="0" w:after="100"/>
      </w:pPr>
      <w:r>
        <w:rPr>
          <w:rFonts w:ascii="Calibri" w:hAnsi="Calibri"/>
          <w:color w:val="33475A"/>
          <w:sz w:val="19"/>
        </w:rPr>
        <w:t xml:space="preserve">Aujourd'hui présents uniquement dans le microservice paiement</w:t>
      </w:r>
    </w:p>
    <w:p>
      <w:pPr>
        <w:spacing w:before="100" w:after="40"/>
      </w:pPr>
      <w:r>
        <w:rPr>
          <w:rFonts w:ascii="Calibri" w:hAnsi="Calibri"/>
          <w:b/>
          <w:color w:val="1E6BB8"/>
          <w:sz w:val="20"/>
        </w:rPr>
        <w:t xml:space="preserve">G3. CQRS</w:t>
      </w:r>
    </w:p>
    <w:p>
      <w:pPr>
        <w:ind w:left="200" w:hanging="0"/>
        <w:spacing w:before="0" w:after="100"/>
      </w:pPr>
      <w:r>
        <w:rPr>
          <w:rFonts w:ascii="Calibri" w:hAnsi="Calibri"/>
          <w:color w:val="33475A"/>
          <w:sz w:val="19"/>
        </w:rPr>
        <w:t xml:space="preserve">Read models Elasticsearch, Redis et MongoDB pour le dossier médical national, les urgences, les statistiques et le reporting ministère ; commandes porteuses d'une intention métier</w:t>
      </w:r>
    </w:p>
    <w:p>
      <w:pPr>
        <w:spacing w:before="100" w:after="40"/>
      </w:pPr>
      <w:r>
        <w:rPr>
          <w:rFonts w:ascii="Calibri" w:hAnsi="Calibri"/>
          <w:b/>
          <w:color w:val="1E6BB8"/>
          <w:sz w:val="20"/>
        </w:rPr>
        <w:t xml:space="preserve">G4. Modules Laravel manquants</w:t>
      </w:r>
    </w:p>
    <w:p>
      <w:pPr>
        <w:ind w:left="200" w:hanging="0"/>
        <w:spacing w:before="0" w:after="100"/>
      </w:pPr>
      <w:r>
        <w:rPr>
          <w:rFonts w:ascii="Calibri" w:hAnsi="Calibri"/>
          <w:color w:val="33475A"/>
          <w:sz w:val="19"/>
        </w:rPr>
        <w:t xml:space="preserve">Consultation, Prescription, Pharmacy, Laboratory, Radiology, Hospitalization, Emergency, Teleconsultation, Referential, Protocol, Statistics</w:t>
      </w:r>
    </w:p>
    <w:p>
      <w:pPr>
        <w:spacing w:before="100" w:after="40"/>
      </w:pPr>
      <w:r>
        <w:rPr>
          <w:rFonts w:ascii="Calibri" w:hAnsi="Calibri"/>
          <w:b/>
          <w:color w:val="1E6BB8"/>
          <w:sz w:val="20"/>
        </w:rPr>
        <w:t xml:space="preserve">G5. Notifications</w:t>
      </w:r>
    </w:p>
    <w:p>
      <w:pPr>
        <w:ind w:left="200" w:hanging="0"/>
        <w:spacing w:before="0" w:after="100"/>
      </w:pPr>
      <w:r>
        <w:rPr>
          <w:rFonts w:ascii="Calibri" w:hAnsi="Calibri"/>
          <w:color w:val="33475A"/>
          <w:sz w:val="19"/>
        </w:rPr>
        <w:t xml:space="preserve">Email, SMS, push FCM/APNs, WhatsApp ; templates multilingues ; retries et suivi de livraison ; aucune donnée médicale dans le corps des messages</w:t>
      </w:r>
    </w:p>
    <w:p>
      <w:pPr>
        <w:spacing w:before="100" w:after="40"/>
      </w:pPr>
      <w:r>
        <w:rPr>
          <w:rFonts w:ascii="Calibri" w:hAnsi="Calibri"/>
          <w:b/>
          <w:color w:val="1E6BB8"/>
          <w:sz w:val="20"/>
        </w:rPr>
        <w:t xml:space="preserve">G6. Fichiers médicaux</w:t>
      </w:r>
    </w:p>
    <w:p>
      <w:pPr>
        <w:ind w:left="200" w:hanging="0"/>
        <w:spacing w:before="0" w:after="100"/>
      </w:pPr>
      <w:r>
        <w:rPr>
          <w:rFonts w:ascii="Calibri" w:hAnsi="Calibri"/>
          <w:color w:val="33475A"/>
          <w:sz w:val="19"/>
        </w:rPr>
        <w:t xml:space="preserve">Stockage objet MinIO/S3, URLs signées à durée limitée, antivirus à l'upload, contrôle du type MIME réel, empreintes d'intégrité</w:t>
      </w:r>
    </w:p>
    <w:p>
      <w:pPr>
        <w:spacing w:before="100" w:after="40"/>
      </w:pPr>
      <w:r>
        <w:rPr>
          <w:rFonts w:ascii="Calibri" w:hAnsi="Calibri"/>
          <w:b/>
          <w:color w:val="1E6BB8"/>
          <w:sz w:val="20"/>
        </w:rPr>
        <w:t xml:space="preserve">G7. Temps réel</w:t>
      </w:r>
    </w:p>
    <w:p>
      <w:pPr>
        <w:ind w:left="200" w:hanging="0"/>
        <w:spacing w:before="0" w:after="100"/>
      </w:pPr>
      <w:r>
        <w:rPr>
          <w:rFonts w:ascii="Calibri" w:hAnsi="Calibri"/>
          <w:color w:val="33475A"/>
          <w:sz w:val="19"/>
        </w:rPr>
        <w:t xml:space="preserve">NodeJS/NestJS avec Socket.IO et WebRTC pour la téléconsultation</w:t>
      </w:r>
    </w:p>
    <w:p>
      <w:pPr>
        <w:spacing w:before="100" w:after="40"/>
      </w:pPr>
      <w:r>
        <w:rPr>
          <w:rFonts w:ascii="Calibri" w:hAnsi="Calibri"/>
          <w:b/>
          <w:color w:val="1E6BB8"/>
          <w:sz w:val="20"/>
        </w:rPr>
        <w:t xml:space="preserve">G8. OpenAPI</w:t>
      </w:r>
    </w:p>
    <w:p>
      <w:pPr>
        <w:ind w:left="200" w:hanging="0"/>
        <w:spacing w:before="0" w:after="100"/>
      </w:pPr>
      <w:r>
        <w:rPr>
          <w:rFonts w:ascii="Calibri" w:hAnsi="Calibri"/>
          <w:color w:val="33475A"/>
          <w:sz w:val="19"/>
        </w:rPr>
        <w:t xml:space="preserve">Génération et publication pour chaque endpoint (Rule-003)</w:t>
      </w:r>
    </w:p>
    <w:p>
      <w:pPr>
        <w:spacing w:before="100" w:after="40"/>
      </w:pPr>
      <w:r>
        <w:rPr>
          <w:rFonts w:ascii="Calibri" w:hAnsi="Calibri"/>
          <w:b/>
          <w:color w:val="1E6BB8"/>
          <w:sz w:val="20"/>
        </w:rPr>
        <w:t xml:space="preserve">G9. Conventions d'API</w:t>
      </w:r>
    </w:p>
    <w:p>
      <w:pPr>
        <w:ind w:left="200" w:hanging="0"/>
        <w:spacing w:before="0" w:after="100"/>
      </w:pPr>
      <w:r>
        <w:rPr>
          <w:rFonts w:ascii="Calibri" w:hAnsi="Calibri"/>
          <w:color w:val="33475A"/>
          <w:sz w:val="19"/>
        </w:rPr>
        <w:t xml:space="preserve">Pagination par curseur, projection ?fields=, ETag et Cache-Control, en-tête X-Country-Code, format d'erreur normalisé sur l'ensemble des routes</w:t>
      </w:r>
    </w:p>
    <w:p>
      <w:pPr>
        <w:spacing w:before="100" w:after="40"/>
      </w:pPr>
      <w:r>
        <w:rPr>
          <w:rFonts w:ascii="Calibri" w:hAnsi="Calibri"/>
          <w:b/>
          <w:color w:val="1E6BB8"/>
          <w:sz w:val="20"/>
        </w:rPr>
        <w:t xml:space="preserve">G10. Observabilité</w:t>
      </w:r>
    </w:p>
    <w:p>
      <w:pPr>
        <w:ind w:left="200" w:hanging="0"/>
        <w:spacing w:before="0" w:after="100"/>
      </w:pPr>
      <w:r>
        <w:rPr>
          <w:rFonts w:ascii="Calibri" w:hAnsi="Calibri"/>
          <w:color w:val="33475A"/>
          <w:sz w:val="19"/>
        </w:rPr>
        <w:t xml:space="preserve">Prometheus, Grafana, ELK ou Loki, OpenTelemetry, sondes /health et /ready</w:t>
      </w:r>
    </w:p>
    <w:p>
      <w:pPr>
        <w:spacing w:before="100" w:after="40"/>
      </w:pPr>
      <w:r>
        <w:rPr>
          <w:rFonts w:ascii="Calibri" w:hAnsi="Calibri"/>
          <w:b/>
          <w:color w:val="1E6BB8"/>
          <w:sz w:val="20"/>
        </w:rPr>
        <w:t xml:space="preserve">G11. Performance</w:t>
      </w:r>
    </w:p>
    <w:p>
      <w:pPr>
        <w:ind w:left="200" w:hanging="0"/>
        <w:spacing w:before="0" w:after="100"/>
      </w:pPr>
      <w:r>
        <w:rPr>
          <w:rFonts w:ascii="Calibri" w:hAnsi="Calibri"/>
          <w:color w:val="33475A"/>
          <w:sz w:val="19"/>
        </w:rPr>
        <w:t xml:space="preserve">Octane, Horizon ; objectif P95 sous 150 ms aujourd'hui non mesuré</w:t>
      </w:r>
    </w:p>
    <w:p>
      <w:pPr>
        <w:pStyle w:val="Heading2"/>
        <w:keepNext/>
        <w:spacing w:before="320" w:after="120"/>
      </w:pPr>
      <w:r>
        <w:rPr>
          <w:b/>
          <w:color w:val="1E6BB8"/>
          <w:sz w:val="26"/>
        </w:rPr>
        <w:t xml:space="preserve">H. CDC_10 — Sécurité</w:t>
      </w:r>
    </w:p>
    <w:p>
      <w:pPr>
        <w:spacing w:before="0" w:after="140"/>
      </w:pPr>
      <w:r>
        <w:rPr>
          <w:rFonts w:ascii="Calibri" w:hAnsi="Calibri"/>
          <w:color w:val="62768A"/>
          <w:sz w:val="19"/>
        </w:rPr>
        <w:t xml:space="preserve">Rappel : ce cahier des charges prévaut sur tous les autres en cas de contradiction.</w:t>
      </w:r>
    </w:p>
    <w:p>
      <w:pPr>
        <w:spacing w:before="100" w:after="40"/>
      </w:pPr>
      <w:r>
        <w:rPr>
          <w:rFonts w:ascii="Calibri" w:hAnsi="Calibri"/>
          <w:b/>
          <w:color w:val="1E6BB8"/>
          <w:sz w:val="20"/>
        </w:rPr>
        <w:t xml:space="preserve">H1. Keycloak, OAuth2 et OpenID Connect</w:t>
      </w:r>
    </w:p>
    <w:p>
      <w:pPr>
        <w:ind w:left="200" w:hanging="0"/>
        <w:spacing w:before="0" w:after="100"/>
      </w:pPr>
      <w:r>
        <w:rPr>
          <w:rFonts w:ascii="Calibri" w:hAnsi="Calibri"/>
          <w:color w:val="33475A"/>
          <w:sz w:val="19"/>
        </w:rPr>
        <w:t xml:space="preserve">Aujourd'hui Sanctum — classé « prêt à activer » par ADR-002</w:t>
      </w:r>
    </w:p>
    <w:p>
      <w:pPr>
        <w:spacing w:before="100" w:after="40"/>
      </w:pPr>
      <w:r>
        <w:rPr>
          <w:rFonts w:ascii="Calibri" w:hAnsi="Calibri"/>
          <w:b/>
          <w:color w:val="1E6BB8"/>
          <w:sz w:val="20"/>
        </w:rPr>
        <w:t xml:space="preserve">H2. MFA effectif</w:t>
      </w:r>
    </w:p>
    <w:p>
      <w:pPr>
        <w:ind w:left="200" w:hanging="0"/>
        <w:spacing w:before="0" w:after="100"/>
      </w:pPr>
      <w:r>
        <w:rPr>
          <w:rFonts w:ascii="Calibri" w:hAnsi="Calibri"/>
          <w:color w:val="33475A"/>
          <w:sz w:val="19"/>
        </w:rPr>
        <w:t xml:space="preserve">MFA_ENFORCE est à OFF ; à rendre obligatoire pour médecins, administrateurs, ministère, assurances et super-administrateurs</w:t>
      </w:r>
    </w:p>
    <w:p>
      <w:pPr>
        <w:spacing w:before="100" w:after="40"/>
      </w:pPr>
      <w:r>
        <w:rPr>
          <w:rFonts w:ascii="Calibri" w:hAnsi="Calibri"/>
          <w:b/>
          <w:color w:val="1E6BB8"/>
          <w:sz w:val="20"/>
        </w:rPr>
        <w:t xml:space="preserve">H3. ABAC complet</w:t>
      </w:r>
    </w:p>
    <w:p>
      <w:pPr>
        <w:ind w:left="200" w:hanging="0"/>
        <w:spacing w:before="0" w:after="100"/>
      </w:pPr>
      <w:r>
        <w:rPr>
          <w:rFonts w:ascii="Calibri" w:hAnsi="Calibri"/>
          <w:color w:val="33475A"/>
          <w:sz w:val="19"/>
        </w:rPr>
        <w:t xml:space="preserve">Lien de prise en charge, établissement, service, heure, pays, contexte d'urgence. Cas imposé par le corpus : deux cardiologues de même rôle, seul celui qui suit le patient peut ouvrir son dossier</w:t>
      </w:r>
    </w:p>
    <w:p>
      <w:pPr>
        <w:spacing w:before="100" w:after="40"/>
      </w:pPr>
      <w:r>
        <w:rPr>
          <w:rFonts w:ascii="Calibri" w:hAnsi="Calibri"/>
          <w:b/>
          <w:color w:val="1E6BB8"/>
          <w:sz w:val="20"/>
        </w:rPr>
        <w:t xml:space="preserve">H4. PKI et HSM</w:t>
      </w:r>
    </w:p>
    <w:p>
      <w:pPr>
        <w:ind w:left="200" w:hanging="0"/>
        <w:spacing w:before="0" w:after="100"/>
      </w:pPr>
      <w:r>
        <w:rPr>
          <w:rFonts w:ascii="Calibri" w:hAnsi="Calibri"/>
          <w:color w:val="33475A"/>
          <w:sz w:val="19"/>
        </w:rPr>
        <w:t xml:space="preserve">Autorité de certification, certificats X.509, signature électronique des ordonnances, comptes rendus, certificats et factures, avec vérification avant chaque signature</w:t>
      </w:r>
    </w:p>
    <w:p>
      <w:pPr>
        <w:spacing w:before="100" w:after="40"/>
      </w:pPr>
      <w:r>
        <w:rPr>
          <w:rFonts w:ascii="Calibri" w:hAnsi="Calibri"/>
          <w:b/>
          <w:color w:val="1E6BB8"/>
          <w:sz w:val="20"/>
        </w:rPr>
        <w:t xml:space="preserve">H5. Chiffrement au repos</w:t>
      </w:r>
    </w:p>
    <w:p>
      <w:pPr>
        <w:ind w:left="200" w:hanging="0"/>
        <w:spacing w:before="0" w:after="100"/>
      </w:pPr>
      <w:r>
        <w:rPr>
          <w:rFonts w:ascii="Calibri" w:hAnsi="Calibri"/>
          <w:color w:val="33475A"/>
          <w:sz w:val="19"/>
        </w:rPr>
        <w:t xml:space="preserve">AES-256 sur les bases, sauvegardes et stockage objet ; chiffrement au niveau colonne pour la biométrie, les identifiants d'assurance et les données financières ; rotation des clés</w:t>
      </w:r>
    </w:p>
    <w:p>
      <w:pPr>
        <w:spacing w:before="100" w:after="40"/>
      </w:pPr>
      <w:r>
        <w:rPr>
          <w:rFonts w:ascii="Calibri" w:hAnsi="Calibri"/>
          <w:b/>
          <w:color w:val="1E6BB8"/>
          <w:sz w:val="20"/>
        </w:rPr>
        <w:t xml:space="preserve">H6. mTLS et Service Mesh</w:t>
      </w:r>
    </w:p>
    <w:p>
      <w:pPr>
        <w:ind w:left="200" w:hanging="0"/>
        <w:spacing w:before="0" w:after="100"/>
      </w:pPr>
      <w:r>
        <w:rPr>
          <w:rFonts w:ascii="Calibri" w:hAnsi="Calibri"/>
          <w:color w:val="33475A"/>
          <w:sz w:val="19"/>
        </w:rPr>
        <w:t xml:space="preserve">Istio et Envoy</w:t>
      </w:r>
    </w:p>
    <w:p>
      <w:pPr>
        <w:spacing w:before="100" w:after="40"/>
      </w:pPr>
      <w:r>
        <w:rPr>
          <w:rFonts w:ascii="Calibri" w:hAnsi="Calibri"/>
          <w:b/>
          <w:color w:val="1E6BB8"/>
          <w:sz w:val="20"/>
        </w:rPr>
        <w:t xml:space="preserve">H7. SIEM et SOC</w:t>
      </w:r>
    </w:p>
    <w:p>
      <w:pPr>
        <w:ind w:left="200" w:hanging="0"/>
        <w:spacing w:before="0" w:after="100"/>
      </w:pPr>
      <w:r>
        <w:rPr>
          <w:rFonts w:ascii="Calibri" w:hAnsi="Calibri"/>
          <w:color w:val="33475A"/>
          <w:sz w:val="19"/>
        </w:rPr>
        <w:t xml:space="preserve">Corrélation des événements, détection d'exfiltration et d'escalade de privilèges, procédure de réponse à incident documentée</w:t>
      </w:r>
    </w:p>
    <w:p>
      <w:pPr>
        <w:spacing w:before="100" w:after="40"/>
      </w:pPr>
      <w:r>
        <w:rPr>
          <w:rFonts w:ascii="Calibri" w:hAnsi="Calibri"/>
          <w:b/>
          <w:color w:val="1E6BB8"/>
          <w:sz w:val="20"/>
        </w:rPr>
        <w:t xml:space="preserve">H8. OWASP systématique</w:t>
      </w:r>
    </w:p>
    <w:p>
      <w:pPr>
        <w:ind w:left="200" w:hanging="0"/>
        <w:spacing w:before="0" w:after="100"/>
      </w:pPr>
      <w:r>
        <w:rPr>
          <w:rFonts w:ascii="Calibri" w:hAnsi="Calibri"/>
          <w:color w:val="33475A"/>
          <w:sz w:val="19"/>
        </w:rPr>
        <w:t xml:space="preserve">CSP stricte, liste blanche SSRF, protection contre le mass assignment, rate limiting et anti-bruteforce, CAPTCHA sur les formulaires publics</w:t>
      </w:r>
    </w:p>
    <w:p>
      <w:pPr>
        <w:spacing w:before="100" w:after="40"/>
      </w:pPr>
      <w:r>
        <w:rPr>
          <w:rFonts w:ascii="Calibri" w:hAnsi="Calibri"/>
          <w:b/>
          <w:color w:val="1E6BB8"/>
          <w:sz w:val="20"/>
        </w:rPr>
        <w:t xml:space="preserve">H9. Sécurité mobile</w:t>
      </w:r>
    </w:p>
    <w:p>
      <w:pPr>
        <w:ind w:left="200" w:hanging="0"/>
        <w:spacing w:before="0" w:after="100"/>
      </w:pPr>
      <w:r>
        <w:rPr>
          <w:rFonts w:ascii="Calibri" w:hAnsi="Calibri"/>
          <w:color w:val="33475A"/>
          <w:sz w:val="19"/>
        </w:rPr>
        <w:t xml:space="preserve">Certificate pinning, verrouillage après inactivité, masquage du contenu sensible dans le multitâche</w:t>
      </w:r>
    </w:p>
    <w:p>
      <w:pPr>
        <w:spacing w:before="100" w:after="40"/>
      </w:pPr>
      <w:r>
        <w:rPr>
          <w:rFonts w:ascii="Calibri" w:hAnsi="Calibri"/>
          <w:b/>
          <w:color w:val="1E6BB8"/>
          <w:sz w:val="20"/>
        </w:rPr>
        <w:t xml:space="preserve">H10. Haute disponibilité et reprise</w:t>
      </w:r>
    </w:p>
    <w:p>
      <w:pPr>
        <w:ind w:left="200" w:hanging="0"/>
        <w:spacing w:before="0" w:after="100"/>
      </w:pPr>
      <w:r>
        <w:rPr>
          <w:rFonts w:ascii="Calibri" w:hAnsi="Calibri"/>
          <w:color w:val="33475A"/>
          <w:sz w:val="19"/>
        </w:rPr>
        <w:t xml:space="preserve">99,99 % de disponibilité, RTO sous 30 minutes, RPO sous 5 minutes, réplication Abidjan → Yamoussoukro → Bouaké → San Pedro, sauvegardes 3-2-1 immuables, PRA et PCA, ordre de restauration imposé, exercices de bascule</w:t>
      </w:r>
    </w:p>
    <w:p>
      <w:pPr>
        <w:spacing w:before="100" w:after="40"/>
      </w:pPr>
      <w:r>
        <w:rPr>
          <w:rFonts w:ascii="Calibri" w:hAnsi="Calibri"/>
          <w:b/>
          <w:color w:val="1E6BB8"/>
          <w:sz w:val="20"/>
        </w:rPr>
        <w:t xml:space="preserve">H11. Protection des données personnelles</w:t>
      </w:r>
    </w:p>
    <w:p>
      <w:pPr>
        <w:ind w:left="200" w:hanging="0"/>
        <w:spacing w:before="0" w:after="100"/>
      </w:pPr>
      <w:r>
        <w:rPr>
          <w:rFonts w:ascii="Calibri" w:hAnsi="Calibri"/>
          <w:color w:val="33475A"/>
          <w:sz w:val="19"/>
        </w:rPr>
        <w:t xml:space="preserve">Consentement révocable et tracé, droits d'accès, de rectification, de portabilité et d'effacement, durées de conservation, purge journalisée, registre des traitements</w:t>
      </w:r>
    </w:p>
    <w:p>
      <w:pPr>
        <w:spacing w:before="100" w:after="40"/>
      </w:pPr>
      <w:r>
        <w:rPr>
          <w:rFonts w:ascii="Calibri" w:hAnsi="Calibri"/>
          <w:b/>
          <w:color w:val="1E6BB8"/>
          <w:sz w:val="20"/>
        </w:rPr>
        <w:t xml:space="preserve">H12. Gouvernance</w:t>
      </w:r>
    </w:p>
    <w:p>
      <w:pPr>
        <w:ind w:left="200" w:hanging="0"/>
        <w:spacing w:before="0" w:after="100"/>
      </w:pPr>
      <w:r>
        <w:rPr>
          <w:rFonts w:ascii="Calibri" w:hAnsi="Calibri"/>
          <w:color w:val="33475A"/>
          <w:sz w:val="19"/>
        </w:rPr>
        <w:t xml:space="preserve">SonarQube, PHPStan et Pylint en intégration continue bloquante, scan des dépendances et des secrets, tests d'intrusion par un tiers, revue annuelle de l'architecture de sécurité</w:t>
      </w:r>
    </w:p>
    <w:p>
      <w:r>
        <w:br w:type="page"/>
      </w:r>
    </w:p>
    <w:p>
      <w:pPr>
        <w:pStyle w:val="Heading2"/>
        <w:keepNext/>
        <w:spacing w:before="320" w:after="120"/>
      </w:pPr>
      <w:r>
        <w:rPr>
          <w:b/>
          <w:color w:val="1E6BB8"/>
          <w:sz w:val="26"/>
        </w:rPr>
        <w:t xml:space="preserve">I. CDC_04 — Base de données</w:t>
      </w:r>
    </w:p>
    <w:p>
      <w:pPr>
        <w:ind w:left="340" w:hanging="200"/>
        <w:spacing w:before="0" w:after="60"/>
      </w:pPr>
      <w:r>
        <w:rPr>
          <w:rFonts w:ascii="Calibri" w:hAnsi="Calibri"/>
          <w:color w:val="11212E"/>
          <w:sz w:val="20"/>
        </w:rPr>
        <w:t xml:space="preserve">•  I1 — Migration de MySQL vers PostgreSQL : PostgreSQL est imposé par ADR-001 du CDC_04, MySQL n'étant qu'une étape MVP</w:t>
      </w:r>
    </w:p>
    <w:p>
      <w:pPr>
        <w:ind w:left="340" w:hanging="200"/>
        <w:spacing w:before="0" w:after="60"/>
      </w:pPr>
      <w:r>
        <w:rPr>
          <w:rFonts w:ascii="Calibri" w:hAnsi="Calibri"/>
          <w:color w:val="11212E"/>
          <w:sz w:val="20"/>
        </w:rPr>
        <w:t xml:space="preserve">•  I2 — Organisation en 12 schémas par domaine, puis Database per Service en phase 2</w:t>
      </w:r>
    </w:p>
    <w:p>
      <w:pPr>
        <w:ind w:left="340" w:hanging="200"/>
        <w:spacing w:before="0" w:after="60"/>
      </w:pPr>
      <w:r>
        <w:rPr>
          <w:rFonts w:ascii="Calibri" w:hAnsi="Calibri"/>
          <w:color w:val="11212E"/>
          <w:sz w:val="20"/>
        </w:rPr>
        <w:t xml:space="preserve">•  I3 — Persistance polyglotte : MongoDB, Elasticsearch, Neo4j, InfluxDB ou TimescaleDB, MinIO, Qdrant</w:t>
      </w:r>
    </w:p>
    <w:p>
      <w:pPr>
        <w:ind w:left="340" w:hanging="200"/>
        <w:spacing w:before="0" w:after="60"/>
      </w:pPr>
      <w:r>
        <w:rPr>
          <w:rFonts w:ascii="Calibri" w:hAnsi="Calibri"/>
          <w:color w:val="11212E"/>
          <w:sz w:val="20"/>
        </w:rPr>
        <w:t xml:space="preserve">•  I4 — Environ 90 tables manquantes sur les domaines dossier médical, prescriptions, pharmacie, laboratoire, radiologie, urgences, hospitalisation, assurance, référentiels, IA, notifications</w:t>
      </w:r>
    </w:p>
    <w:p>
      <w:pPr>
        <w:ind w:left="340" w:hanging="200"/>
        <w:spacing w:before="0" w:after="60"/>
      </w:pPr>
      <w:r>
        <w:rPr>
          <w:rFonts w:ascii="Calibri" w:hAnsi="Calibri"/>
          <w:color w:val="11212E"/>
          <w:sz w:val="20"/>
        </w:rPr>
        <w:t xml:space="preserve">•  I5 — Conventions : UUID v7, TIMESTAMPTZ, NUMERIC pour les montants, pays_code et etablissement_id sur toutes les tables opérationnelles, created_by, updated_by et version</w:t>
      </w:r>
    </w:p>
    <w:p>
      <w:pPr>
        <w:ind w:left="340" w:hanging="200"/>
        <w:spacing w:before="0" w:after="60"/>
      </w:pPr>
      <w:r>
        <w:rPr>
          <w:rFonts w:ascii="Calibri" w:hAnsi="Calibri"/>
          <w:color w:val="11212E"/>
          <w:sz w:val="20"/>
        </w:rPr>
        <w:t xml:space="preserve">•  I6 — Partitionnement de consultations, ordonnances, journaux_audit, constantes_vitales et transactions</w:t>
      </w:r>
    </w:p>
    <w:p>
      <w:pPr>
        <w:ind w:left="340" w:hanging="200"/>
        <w:spacing w:before="0" w:after="60"/>
      </w:pPr>
      <w:r>
        <w:rPr>
          <w:rFonts w:ascii="Calibri" w:hAnsi="Calibri"/>
          <w:color w:val="11212E"/>
          <w:sz w:val="20"/>
        </w:rPr>
        <w:t xml:space="preserve">•  I7 — Row Level Security PostgreSQL pour l'isolement multi-établissement</w:t>
      </w:r>
    </w:p>
    <w:p>
      <w:pPr>
        <w:ind w:left="340" w:hanging="200"/>
        <w:spacing w:before="0" w:after="60"/>
      </w:pPr>
      <w:r>
        <w:rPr>
          <w:rFonts w:ascii="Calibri" w:hAnsi="Calibri"/>
          <w:color w:val="11212E"/>
          <w:sz w:val="20"/>
        </w:rPr>
        <w:t xml:space="preserve">•  I8 — Performance : EXPLAIN ANALYZE systématique, keyset pagination, read replicas, PgBouncer, sharding</w:t>
      </w:r>
    </w:p>
    <w:p>
      <w:pPr>
        <w:ind w:left="340" w:hanging="200"/>
        <w:spacing w:before="0" w:after="60"/>
      </w:pPr>
      <w:r>
        <w:rPr>
          <w:rFonts w:ascii="Calibri" w:hAnsi="Calibri"/>
          <w:color w:val="11212E"/>
          <w:sz w:val="20"/>
        </w:rPr>
        <w:t xml:space="preserve">•  I9 — Livrables de modélisation : MCD, MLD, MPD et diagrammes UML par domaine</w:t>
      </w:r>
    </w:p>
    <w:p>
      <w:pPr>
        <w:pStyle w:val="Heading2"/>
        <w:keepNext/>
        <w:spacing w:before="320" w:after="120"/>
      </w:pPr>
      <w:r>
        <w:rPr>
          <w:b/>
          <w:color w:val="1E6BB8"/>
          <w:sz w:val="26"/>
        </w:rPr>
        <w:t xml:space="preserve">J. CDC_13 — Plateforme de données (intégralité)</w:t>
      </w:r>
    </w:p>
    <w:p>
      <w:pPr>
        <w:ind w:left="340" w:hanging="200"/>
        <w:spacing w:before="0" w:after="60"/>
      </w:pPr>
      <w:r>
        <w:rPr>
          <w:rFonts w:ascii="Calibri" w:hAnsi="Calibri"/>
          <w:color w:val="11212E"/>
          <w:sz w:val="20"/>
        </w:rPr>
        <w:t xml:space="preserve">•  J1 — Couche d'ingestion : Kafka en temps réel, API partenaires, batch, IoT médical, contrats de schéma et quarantaine des données non conformes</w:t>
      </w:r>
    </w:p>
    <w:p>
      <w:pPr>
        <w:ind w:left="340" w:hanging="200"/>
        <w:spacing w:before="0" w:after="60"/>
      </w:pPr>
      <w:r>
        <w:rPr>
          <w:rFonts w:ascii="Calibri" w:hAnsi="Calibri"/>
          <w:color w:val="11212E"/>
          <w:sz w:val="20"/>
        </w:rPr>
        <w:t xml:space="preserve">•  J2 — Data Lake organisé en zones Raw/Bronze, Cleansed/Silver, Curated/Gold et Sandbox, avec droits d'accès propres à chaque zone</w:t>
      </w:r>
    </w:p>
    <w:p>
      <w:pPr>
        <w:ind w:left="340" w:hanging="200"/>
        <w:spacing w:before="0" w:after="60"/>
      </w:pPr>
      <w:r>
        <w:rPr>
          <w:rFonts w:ascii="Calibri" w:hAnsi="Calibri"/>
          <w:color w:val="11212E"/>
          <w:sz w:val="20"/>
        </w:rPr>
        <w:t xml:space="preserve">•  J3 — Data Warehouse : modélisation dimensionnelle faits / dimensions, historisation des dimensions (SCD) pour les analyses rétrospectives</w:t>
      </w:r>
    </w:p>
    <w:p>
      <w:pPr>
        <w:ind w:left="340" w:hanging="200"/>
        <w:spacing w:before="0" w:after="60"/>
      </w:pPr>
      <w:r>
        <w:rPr>
          <w:rFonts w:ascii="Calibri" w:hAnsi="Calibri"/>
          <w:color w:val="11212E"/>
          <w:sz w:val="20"/>
        </w:rPr>
        <w:t xml:space="preserve">•  J4 — Pipelines Spark orchestrés par Airflow : idempotence, reprise sur incident, versionnage du code de transformation, tests de données</w:t>
      </w:r>
    </w:p>
    <w:p>
      <w:pPr>
        <w:ind w:left="340" w:hanging="200"/>
        <w:spacing w:before="0" w:after="60"/>
      </w:pPr>
      <w:r>
        <w:rPr>
          <w:rFonts w:ascii="Calibri" w:hAnsi="Calibri"/>
          <w:color w:val="11212E"/>
          <w:sz w:val="20"/>
        </w:rPr>
        <w:t xml:space="preserve">•  J5 — Traitements batch : statistiques nationales, indicateurs de santé, synchronisation CNAM, imports massifs, exports de rapports, entraînement des modèles</w:t>
      </w:r>
    </w:p>
    <w:p>
      <w:pPr>
        <w:ind w:left="340" w:hanging="200"/>
        <w:spacing w:before="0" w:after="60"/>
      </w:pPr>
      <w:r>
        <w:rPr>
          <w:rFonts w:ascii="Calibri" w:hAnsi="Calibri"/>
          <w:color w:val="11212E"/>
          <w:sz w:val="20"/>
        </w:rPr>
        <w:t xml:space="preserve">•  J6 — Catalogue de données et lignage permettant de remonter d'un indicateur national jusqu'à la source opérationnelle</w:t>
      </w:r>
    </w:p>
    <w:p>
      <w:pPr>
        <w:ind w:left="340" w:hanging="200"/>
        <w:spacing w:before="0" w:after="60"/>
      </w:pPr>
      <w:r>
        <w:rPr>
          <w:rFonts w:ascii="Calibri" w:hAnsi="Calibri"/>
          <w:color w:val="11212E"/>
          <w:sz w:val="20"/>
        </w:rPr>
        <w:t xml:space="preserve">•  J7 — Contrôles qualité : complétude, unicité, validité, cohérence, fraîcheur, avec tableau de bord dédié</w:t>
      </w:r>
    </w:p>
    <w:p>
      <w:pPr>
        <w:ind w:left="340" w:hanging="200"/>
        <w:spacing w:before="0" w:after="60"/>
      </w:pPr>
      <w:r>
        <w:rPr>
          <w:rFonts w:ascii="Calibri" w:hAnsi="Calibri"/>
          <w:color w:val="11212E"/>
          <w:sz w:val="20"/>
        </w:rPr>
        <w:t xml:space="preserve">•  J8 — Anonymisation et pseudonymisation : k-anonymat ou équivalent, contrôle du risque de réidentification</w:t>
      </w:r>
    </w:p>
    <w:p>
      <w:pPr>
        <w:ind w:left="340" w:hanging="200"/>
        <w:spacing w:before="0" w:after="60"/>
      </w:pPr>
      <w:r>
        <w:rPr>
          <w:rFonts w:ascii="Calibri" w:hAnsi="Calibri"/>
          <w:color w:val="11212E"/>
          <w:sz w:val="20"/>
        </w:rPr>
        <w:t xml:space="preserve">•  J9 — Souveraineté : cloud privé gouvernemental ou datacenters nationaux</w:t>
      </w:r>
    </w:p>
    <w:p>
      <w:pPr>
        <w:pStyle w:val="Heading2"/>
        <w:keepNext/>
        <w:spacing w:before="320" w:after="120"/>
      </w:pPr>
      <w:r>
        <w:rPr>
          <w:b/>
          <w:color w:val="1E6BB8"/>
          <w:sz w:val="26"/>
        </w:rPr>
        <w:t xml:space="preserve">K. CDC_12 — Microservices et infrastructure</w:t>
      </w:r>
    </w:p>
    <w:p>
      <w:pPr>
        <w:ind w:left="340" w:hanging="200"/>
        <w:spacing w:before="0" w:after="60"/>
      </w:pPr>
      <w:r>
        <w:rPr>
          <w:rFonts w:ascii="Calibri" w:hAnsi="Calibri"/>
          <w:color w:val="11212E"/>
          <w:sz w:val="20"/>
        </w:rPr>
        <w:t xml:space="preserve">•  K1 — API Gateway Kong : authentification, routage, rate limiting, quotas différenciés ; aucun service exposé directement sur Internet</w:t>
      </w:r>
    </w:p>
    <w:p>
      <w:pPr>
        <w:ind w:left="340" w:hanging="200"/>
        <w:spacing w:before="0" w:after="60"/>
      </w:pPr>
      <w:r>
        <w:rPr>
          <w:rFonts w:ascii="Calibri" w:hAnsi="Calibri"/>
          <w:color w:val="11212E"/>
          <w:sz w:val="20"/>
        </w:rPr>
        <w:t xml:space="preserve">•  K2 — Service Mesh Istio et Envoy : mTLS obligatoire, déploiements canary, politiques d'autorisation service à service</w:t>
      </w:r>
    </w:p>
    <w:p>
      <w:pPr>
        <w:ind w:left="340" w:hanging="200"/>
        <w:spacing w:before="0" w:after="60"/>
      </w:pPr>
      <w:r>
        <w:rPr>
          <w:rFonts w:ascii="Calibri" w:hAnsi="Calibri"/>
          <w:color w:val="11212E"/>
          <w:sz w:val="20"/>
        </w:rPr>
        <w:t xml:space="preserve">•  K3 — Kubernetes : autoscaling horizontal, auto-healing, rolling updates, PodSecurity, conteneurs non-root, images signées et scannées, secrets via Vault</w:t>
      </w:r>
    </w:p>
    <w:p>
      <w:pPr>
        <w:ind w:left="340" w:hanging="200"/>
        <w:spacing w:before="0" w:after="60"/>
      </w:pPr>
      <w:r>
        <w:rPr>
          <w:rFonts w:ascii="Calibri" w:hAnsi="Calibri"/>
          <w:color w:val="11212E"/>
          <w:sz w:val="20"/>
        </w:rPr>
        <w:t xml:space="preserve">•  K4 — Service Discovery et load balancing : DNS Kubernetes, health checks, retrait automatique des instances défaillantes</w:t>
      </w:r>
    </w:p>
    <w:p>
      <w:pPr>
        <w:ind w:left="340" w:hanging="200"/>
        <w:spacing w:before="0" w:after="60"/>
      </w:pPr>
      <w:r>
        <w:rPr>
          <w:rFonts w:ascii="Calibri" w:hAnsi="Calibri"/>
          <w:color w:val="11212E"/>
          <w:sz w:val="20"/>
        </w:rPr>
        <w:t xml:space="preserve">•  K5 — Découpage en 24 services : le projet en compte aujourd'hui 3 (monolithe Laravel, paiement, fraude)</w:t>
      </w:r>
    </w:p>
    <w:p>
      <w:pPr>
        <w:ind w:left="340" w:hanging="200"/>
        <w:spacing w:before="0" w:after="60"/>
      </w:pPr>
      <w:r>
        <w:rPr>
          <w:rFonts w:ascii="Calibri" w:hAnsi="Calibri"/>
          <w:color w:val="11212E"/>
          <w:sz w:val="20"/>
        </w:rPr>
        <w:t xml:space="preserve">•  K6 — Un dépôt Git par microservice (Twelve-Factor, facteur 1)</w:t>
      </w:r>
    </w:p>
    <w:p>
      <w:pPr>
        <w:ind w:left="340" w:hanging="200"/>
        <w:spacing w:before="0" w:after="60"/>
      </w:pPr>
      <w:r>
        <w:rPr>
          <w:rFonts w:ascii="Calibri" w:hAnsi="Calibri"/>
          <w:color w:val="11212E"/>
          <w:sz w:val="20"/>
        </w:rPr>
        <w:t xml:space="preserve">•  K7 — CI/CD : lint, tests, scan de sécurité, build Docker, déploiement Kubernetes</w:t>
      </w:r>
    </w:p>
    <w:p>
      <w:pPr>
        <w:ind w:left="340" w:hanging="200"/>
        <w:spacing w:before="0" w:after="60"/>
      </w:pPr>
      <w:r>
        <w:rPr>
          <w:rFonts w:ascii="Calibri" w:hAnsi="Calibri"/>
          <w:color w:val="11212E"/>
          <w:sz w:val="20"/>
        </w:rPr>
        <w:t xml:space="preserve">•  K8 — Résilience : circuit breakers, bulkheads, Dead Letter Queues, caches de secours, mode dégradé annoncé à l'utilisateur</w:t>
      </w:r>
    </w:p>
    <w:p>
      <w:pPr>
        <w:ind w:left="340" w:hanging="200"/>
        <w:spacing w:before="0" w:after="60"/>
      </w:pPr>
      <w:r>
        <w:rPr>
          <w:rFonts w:ascii="Calibri" w:hAnsi="Calibri"/>
          <w:color w:val="11212E"/>
          <w:sz w:val="20"/>
        </w:rPr>
        <w:t xml:space="preserve">•  K9 — SLO par service et alerting</w:t>
      </w:r>
    </w:p>
    <w:p>
      <w:r>
        <w:br w:type="page"/>
      </w:r>
    </w:p>
    <w:p>
      <w:pPr>
        <w:pStyle w:val="Heading2"/>
        <w:keepNext/>
        <w:spacing w:before="320" w:after="120"/>
      </w:pPr>
      <w:r>
        <w:rPr>
          <w:b/>
          <w:color w:val="1E6BB8"/>
          <w:sz w:val="26"/>
        </w:rPr>
        <w:t xml:space="preserve">L. Mobile et Web — reste par écran</w:t>
      </w:r>
    </w:p>
    <w:p>
      <w:pPr>
        <w:pStyle w:val="Heading3"/>
        <w:keepNext/>
        <w:spacing w:before="240" w:after="120"/>
      </w:pPr>
      <w:r>
        <w:rPr>
          <w:b/>
          <w:color w:val="11212E"/>
          <w:sz w:val="22"/>
        </w:rPr>
        <w:t xml:space="preserve">Mobile — modules 6 à 12 de l'ordre CDC_01 §17</w:t>
      </w:r>
    </w:p>
    <w:p>
      <w:pPr>
        <w:ind w:left="340" w:hanging="200"/>
        <w:spacing w:before="0" w:after="60"/>
      </w:pPr>
      <w:r>
        <w:rPr>
          <w:rFonts w:ascii="Calibri" w:hAnsi="Calibri"/>
          <w:color w:val="11212E"/>
          <w:sz w:val="20"/>
        </w:rPr>
        <w:t xml:space="preserve">•  6 Triage conforme · 7 Pharmacie · 8 Espaces Médecin, Infirmier, Secrétaire, Pharmacien, Laboratoire et Radiologie · 9 Téléconsultation et chat temps réel · 10 Urgences et ambulance avec suivi sur carte · 11 Administration d'établissement et Super Administration · 12 Notifications push, synchronisation avancée, mises à jour OTA, durcissement sécurité et tests E2E complets</w:t>
      </w:r>
    </w:p>
    <w:p>
      <w:pPr>
        <w:ind w:left="340" w:hanging="200"/>
        <w:spacing w:before="0" w:after="60"/>
      </w:pPr>
      <w:r>
        <w:rPr>
          <w:rFonts w:ascii="Calibri" w:hAnsi="Calibri"/>
          <w:color w:val="11212E"/>
          <w:sz w:val="20"/>
        </w:rPr>
        <w:t xml:space="preserve">•  Fonctionnalités UI transverses manquantes : scanner QR patient, scanner de carte patient, upload de fichiers, caméra pour documents et ordonnances, graphiques, timeline, pagination</w:t>
      </w:r>
    </w:p>
    <w:p>
      <w:pPr>
        <w:pStyle w:val="Heading3"/>
        <w:keepNext/>
        <w:spacing w:before="240" w:after="120"/>
      </w:pPr>
      <w:r>
        <w:rPr>
          <w:b/>
          <w:color w:val="11212E"/>
          <w:sz w:val="22"/>
        </w:rPr>
        <w:t xml:space="preserve">Web — modules 2 à 7 de l'ordre CDC_02 §18</w:t>
      </w:r>
    </w:p>
    <w:p>
      <w:pPr>
        <w:ind w:left="340" w:hanging="200"/>
        <w:spacing w:before="0" w:after="60"/>
      </w:pPr>
      <w:r>
        <w:rPr>
          <w:rFonts w:ascii="Calibri" w:hAnsi="Calibri"/>
          <w:color w:val="11212E"/>
          <w:sz w:val="20"/>
        </w:rPr>
        <w:t xml:space="preserve">•  2 Portail public SEO en SSG/ISR : présentation, recherche publique d'établissements et de médecins, campagnes de prévention, actualités, FAQ, contact, recrutement, mentions légales, politique de confidentialité</w:t>
      </w:r>
    </w:p>
    <w:p>
      <w:pPr>
        <w:ind w:left="340" w:hanging="200"/>
        <w:spacing w:before="0" w:after="60"/>
      </w:pPr>
      <w:r>
        <w:rPr>
          <w:rFonts w:ascii="Calibri" w:hAnsi="Calibri"/>
          <w:color w:val="11212E"/>
          <w:sz w:val="20"/>
        </w:rPr>
        <w:t xml:space="preserve">•  3 Espace Patient web complet</w:t>
      </w:r>
    </w:p>
    <w:p>
      <w:pPr>
        <w:ind w:left="340" w:hanging="200"/>
        <w:spacing w:before="0" w:after="60"/>
      </w:pPr>
      <w:r>
        <w:rPr>
          <w:rFonts w:ascii="Calibri" w:hAnsi="Calibri"/>
          <w:color w:val="11212E"/>
          <w:sz w:val="20"/>
        </w:rPr>
        <w:t xml:space="preserve">•  4 Espaces professionnels optimisés grand écran : tableaux denses avec tri, filtre et export, calendriers complets, visionneuse DICOM web, raccourcis clavier documentés</w:t>
      </w:r>
    </w:p>
    <w:p>
      <w:pPr>
        <w:ind w:left="340" w:hanging="200"/>
        <w:spacing w:before="0" w:after="60"/>
      </w:pPr>
      <w:r>
        <w:rPr>
          <w:rFonts w:ascii="Calibri" w:hAnsi="Calibri"/>
          <w:color w:val="11212E"/>
          <w:sz w:val="20"/>
        </w:rPr>
        <w:t xml:space="preserve">•  5 Administration d'établissement puis Super Administration</w:t>
      </w:r>
    </w:p>
    <w:p>
      <w:pPr>
        <w:ind w:left="340" w:hanging="200"/>
        <w:spacing w:before="0" w:after="60"/>
      </w:pPr>
      <w:r>
        <w:rPr>
          <w:rFonts w:ascii="Calibri" w:hAnsi="Calibri"/>
          <w:color w:val="11212E"/>
          <w:sz w:val="20"/>
        </w:rPr>
        <w:t xml:space="preserve">•  6 Portails Ministère, CNAM/Assurance et Statistiques</w:t>
      </w:r>
    </w:p>
    <w:p>
      <w:pPr>
        <w:ind w:left="340" w:hanging="200"/>
        <w:spacing w:before="0" w:after="60"/>
      </w:pPr>
      <w:r>
        <w:rPr>
          <w:rFonts w:ascii="Calibri" w:hAnsi="Calibri"/>
          <w:color w:val="11212E"/>
          <w:sz w:val="20"/>
        </w:rPr>
        <w:t xml:space="preserve">•  7 Téléconsultation et temps réel, PWA et mode hors ligne, durcissement, tests E2E</w:t>
      </w:r>
    </w:p>
    <w:p>
      <w:pPr>
        <w:ind w:left="340" w:hanging="200"/>
        <w:spacing w:before="0" w:after="60"/>
      </w:pPr>
      <w:r>
        <w:rPr>
          <w:rFonts w:ascii="Calibri" w:hAnsi="Calibri"/>
          <w:color w:val="11212E"/>
          <w:sz w:val="20"/>
        </w:rPr>
        <w:t xml:space="preserve">•  Transverse : une vingtaine de routes App Router avec layout, page, loading, error et not-found ; page 403 dédiée ; conformité WCAG 2.2 AA avec axe-core (dette B2 : pas de harnais d'accessibilité local) ; types TypeScript générés depuis OpenAPI, aujourd'hui écrits à la main</w:t>
      </w:r>
    </w:p>
    <w:p>
      <w:pPr>
        <w:pStyle w:val="Heading2"/>
        <w:keepNext/>
        <w:spacing w:before="320" w:after="120"/>
      </w:pPr>
      <w:r>
        <w:rPr>
          <w:b/>
          <w:color w:val="1E6BB8"/>
          <w:sz w:val="26"/>
        </w:rPr>
        <w:t xml:space="preserve">M. Gouvernance documentaire (CDC_00 §8)</w:t>
      </w:r>
    </w:p>
    <w:p>
      <w:pPr>
        <w:ind w:left="340" w:hanging="200"/>
        <w:spacing w:before="0" w:after="60"/>
      </w:pPr>
      <w:r>
        <w:rPr>
          <w:rFonts w:ascii="Calibri" w:hAnsi="Calibri"/>
          <w:color w:val="11212E"/>
          <w:sz w:val="20"/>
        </w:rPr>
        <w:t xml:space="preserve">•  Architecture Handbook — absent : règles de nommage, structure des projets, conception des API, principes DDD, style de code, stratégie de tests, versionnement, migrations, politique de sécurité, qualité logicielle</w:t>
      </w:r>
    </w:p>
    <w:p>
      <w:pPr>
        <w:ind w:left="340" w:hanging="200"/>
        <w:spacing w:before="0" w:after="60"/>
      </w:pPr>
      <w:r>
        <w:rPr>
          <w:rFonts w:ascii="Calibri" w:hAnsi="Calibri"/>
          <w:color w:val="11212E"/>
          <w:sz w:val="20"/>
        </w:rPr>
        <w:t xml:space="preserve">•  Knowledge Book — existe, à tenir à jour</w:t>
      </w:r>
    </w:p>
    <w:p>
      <w:pPr>
        <w:ind w:left="340" w:hanging="200"/>
        <w:spacing w:before="0" w:after="60"/>
      </w:pPr>
      <w:r>
        <w:rPr>
          <w:rFonts w:ascii="Calibri" w:hAnsi="Calibri"/>
          <w:color w:val="11212E"/>
          <w:sz w:val="20"/>
        </w:rPr>
        <w:t xml:space="preserve">•  ADR — 20 décisions numérotées mais 7 fichiers seulement ; ADR-000 à ADR-013 vivent dans un tableau récapitulatif plutôt qu'en documents autonomes</w:t>
      </w:r>
    </w:p>
    <w:p>
      <w:pPr>
        <w:ind w:left="340" w:hanging="200"/>
        <w:spacing w:before="0" w:after="60"/>
      </w:pPr>
      <w:r>
        <w:rPr>
          <w:rFonts w:ascii="Calibri" w:hAnsi="Calibri"/>
          <w:color w:val="11212E"/>
          <w:sz w:val="20"/>
        </w:rPr>
        <w:t xml:space="preserve">•  OpenAPI par endpoint — partiel</w:t>
      </w:r>
    </w:p>
    <w:p>
      <w:pPr>
        <w:ind w:left="340" w:hanging="200"/>
        <w:spacing w:before="0" w:after="60"/>
      </w:pPr>
      <w:r>
        <w:rPr>
          <w:rFonts w:ascii="Calibri" w:hAnsi="Calibri"/>
          <w:color w:val="11212E"/>
          <w:sz w:val="20"/>
        </w:rPr>
        <w:t xml:space="preserve">•  Tableau de soutenance à trois catégories (implémenté et prouvé / prêt à activer / perspective) — à maintenir en continu</w:t>
      </w:r>
    </w:p>
    <w:p>
      <w:r>
        <w:br w:type="page"/>
      </w:r>
    </w:p>
    <w:p>
      <w:pPr>
        <w:pStyle w:val="Heading1"/>
        <w:keepNext/>
        <w:spacing w:before="400" w:after="120"/>
      </w:pPr>
      <w:r>
        <w:rPr>
          <w:b/>
          <w:color w:val="1E6BB8"/>
          <w:sz w:val="32"/>
        </w:rPr>
        <w:t xml:space="preserve">Partie 3 — Séquencement recommandé</w:t>
      </w:r>
    </w:p>
    <w:p>
      <w:pPr>
        <w:spacing w:before="0" w:after="180"/>
      </w:pPr>
      <w:r>
        <w:rPr>
          <w:rFonts w:ascii="Calibri" w:hAnsi="Calibri"/>
          <w:color w:val="11212E"/>
          <w:sz w:val="20"/>
        </w:rPr>
        <w:t xml:space="preserve">L'ordre de construction est explicite dans le corpus et le projet en a dévié : le domaine Paiement a été construit avant les référentiels dont il dépend. Voici l'ordre de rattrapage proposé.</w:t>
      </w:r>
    </w:p>
    <w:tbl>
      <w:tblPr>
        <w:tblW w:w="9640" w:type="dxa"/>
        <w:tblBorders>
          <w:top w:val="single" w:sz="4" w:space="0" w:color="BCD6F0"/>
          <w:left w:val="single" w:sz="4" w:space="0" w:color="BCD6F0"/>
          <w:bottom w:val="single" w:sz="4" w:space="0" w:color="BCD6F0"/>
          <w:right w:val="single" w:sz="4" w:space="0" w:color="BCD6F0"/>
          <w:insideH w:val="single" w:sz="4" w:space="0" w:color="BCD6F0"/>
          <w:insideV w:val="single" w:sz="4" w:space="0" w:color="BCD6F0"/>
        </w:tblBorders>
        <w:tblLayout w:type="fixed"/>
      </w:tblPr>
      <w:tblGrid>
        <w:gridCol w:w="900"/>
        <w:gridCol w:w="2900"/>
        <w:gridCol w:w="5840"/>
      </w:tblGrid>
      <w:tr>
        <w:trPr>
          <w:tblHeader/>
          <w:cantSplit/>
        </w:trPr>
        <w:tc>
          <w:tcPr>
            <w:tcW w:w="90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Priorité</w:t>
            </w:r>
          </w:p>
        </w:tc>
        <w:tc>
          <w:tcPr>
            <w:tcW w:w="290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Bloc</w:t>
            </w:r>
          </w:p>
        </w:tc>
        <w:tc>
          <w:tcPr>
            <w:tcW w:w="584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Justification</w:t>
            </w:r>
          </w:p>
        </w:tc>
      </w:tr>
      <w:tr>
        <w:trPr>
          <w:cantSplit/>
        </w:trPr>
        <w:tc>
          <w:tcPr>
            <w:tcW w:w="900" w:type="dxa"/>
            <w:vAlign w:val="center"/>
            <w:tcMar>
              <w:top w:w="60" w:type="dxa"/>
              <w:bottom w:w="60" w:type="dxa"/>
              <w:left w:w="90" w:type="dxa"/>
              <w:right w:w="90" w:type="dxa"/>
            </w:tcMar>
          </w:tcPr>
          <w:p>
            <w:pPr>
              <w:spacing w:before="20" w:after="20"/>
            </w:pPr>
            <w:r>
              <w:rPr>
                <w:rFonts w:ascii="Calibri" w:hAnsi="Calibri"/>
                <w:color w:val="11212E"/>
                <w:sz w:val="18"/>
              </w:rPr>
              <w:t xml:space="preserve">1</w:t>
            </w:r>
          </w:p>
        </w:tc>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CDC_09 — NIS, MPI et référentiels</w:t>
            </w:r>
          </w:p>
        </w:tc>
        <w:tc>
          <w:tcPr>
            <w:tcW w:w="5840" w:type="dxa"/>
            <w:vAlign w:val="center"/>
            <w:tcMar>
              <w:top w:w="60" w:type="dxa"/>
              <w:bottom w:w="60" w:type="dxa"/>
              <w:left w:w="90" w:type="dxa"/>
              <w:right w:w="90" w:type="dxa"/>
            </w:tcMar>
          </w:tcPr>
          <w:p>
            <w:pPr>
              <w:spacing w:before="20" w:after="20"/>
            </w:pPr>
            <w:r>
              <w:rPr>
                <w:rFonts w:ascii="Calibri" w:hAnsi="Calibri"/>
                <w:color w:val="11212E"/>
                <w:sz w:val="18"/>
              </w:rPr>
              <w:t xml:space="preserve">Prérequis n° 3 du corpus. Bloque prescription, pharmacie, laboratoire et interopérabilité. Rien de propre ne se construit sans lui</w:t>
            </w:r>
          </w:p>
        </w:tc>
      </w:tr>
      <w:tr>
        <w:trPr>
          <w:cantSplit/>
        </w:trPr>
        <w:tc>
          <w:tcPr>
            <w:tcW w:w="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2</w:t>
            </w:r>
          </w:p>
        </w:tc>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CDC_08 — Moteur de protocoles</w:t>
            </w:r>
          </w:p>
        </w:tc>
        <w:tc>
          <w:tcPr>
            <w:tcW w:w="5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Débloque le triage conforme sans IA (Phase 1) et lève la violation « règle médicale en dur »</w:t>
            </w:r>
          </w:p>
        </w:tc>
      </w:tr>
      <w:tr>
        <w:trPr>
          <w:cantSplit/>
        </w:trPr>
        <w:tc>
          <w:tcPr>
            <w:tcW w:w="900" w:type="dxa"/>
            <w:vAlign w:val="center"/>
            <w:tcMar>
              <w:top w:w="60" w:type="dxa"/>
              <w:bottom w:w="60" w:type="dxa"/>
              <w:left w:w="90" w:type="dxa"/>
              <w:right w:w="90" w:type="dxa"/>
            </w:tcMar>
          </w:tcPr>
          <w:p>
            <w:pPr>
              <w:spacing w:before="20" w:after="20"/>
            </w:pPr>
            <w:r>
              <w:rPr>
                <w:rFonts w:ascii="Calibri" w:hAnsi="Calibri"/>
                <w:color w:val="11212E"/>
                <w:sz w:val="18"/>
              </w:rPr>
              <w:t xml:space="preserve">3</w:t>
            </w:r>
          </w:p>
        </w:tc>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Triage — refonte (P6)</w:t>
            </w:r>
          </w:p>
        </w:tc>
        <w:tc>
          <w:tcPr>
            <w:tcW w:w="5840" w:type="dxa"/>
            <w:vAlign w:val="center"/>
            <w:tcMar>
              <w:top w:w="60" w:type="dxa"/>
              <w:bottom w:w="60" w:type="dxa"/>
              <w:left w:w="90" w:type="dxa"/>
              <w:right w:w="90" w:type="dxa"/>
            </w:tcMar>
          </w:tcPr>
          <w:p>
            <w:pPr>
              <w:spacing w:before="20" w:after="20"/>
            </w:pPr>
            <w:r>
              <w:rPr>
                <w:rFonts w:ascii="Calibri" w:hAnsi="Calibri"/>
                <w:color w:val="11212E"/>
                <w:sz w:val="18"/>
              </w:rPr>
              <w:t xml:space="preserve">Première fonctionnalité prouvant la chaîne protocoles → backend → mobile. La fiche PDF/QR est un livrable de soutenance fort</w:t>
            </w:r>
          </w:p>
        </w:tc>
      </w:tr>
      <w:tr>
        <w:trPr>
          <w:cantSplit/>
        </w:trPr>
        <w:tc>
          <w:tcPr>
            <w:tcW w:w="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4</w:t>
            </w:r>
          </w:p>
        </w:tc>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Consultation et prescription électronique</w:t>
            </w:r>
          </w:p>
        </w:tc>
        <w:tc>
          <w:tcPr>
            <w:tcW w:w="5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Cœur médical aujourd'hui absent ; débloque pharmacie et laboratoire</w:t>
            </w:r>
          </w:p>
        </w:tc>
      </w:tr>
      <w:tr>
        <w:trPr>
          <w:cantSplit/>
        </w:trPr>
        <w:tc>
          <w:tcPr>
            <w:tcW w:w="900" w:type="dxa"/>
            <w:vAlign w:val="center"/>
            <w:tcMar>
              <w:top w:w="60" w:type="dxa"/>
              <w:bottom w:w="60" w:type="dxa"/>
              <w:left w:w="90" w:type="dxa"/>
              <w:right w:w="90" w:type="dxa"/>
            </w:tcMar>
          </w:tcPr>
          <w:p>
            <w:pPr>
              <w:spacing w:before="20" w:after="20"/>
            </w:pPr>
            <w:r>
              <w:rPr>
                <w:rFonts w:ascii="Calibri" w:hAnsi="Calibri"/>
                <w:color w:val="11212E"/>
                <w:sz w:val="18"/>
              </w:rPr>
              <w:t xml:space="preserve">5</w:t>
            </w:r>
          </w:p>
        </w:tc>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Mobile Money (CDC_06 §4)</w:t>
            </w:r>
          </w:p>
        </w:tc>
        <w:tc>
          <w:tcPr>
            <w:tcW w:w="5840" w:type="dxa"/>
            <w:vAlign w:val="center"/>
            <w:tcMar>
              <w:top w:w="60" w:type="dxa"/>
              <w:bottom w:w="60" w:type="dxa"/>
              <w:left w:w="90" w:type="dxa"/>
              <w:right w:w="90" w:type="dxa"/>
            </w:tcMar>
          </w:tcPr>
          <w:p>
            <w:pPr>
              <w:spacing w:before="20" w:after="20"/>
            </w:pPr>
            <w:r>
              <w:rPr>
                <w:rFonts w:ascii="Calibri" w:hAnsi="Calibri"/>
                <w:color w:val="11212E"/>
                <w:sz w:val="18"/>
              </w:rPr>
              <w:t xml:space="preserve">Plus de 90 % des paiements en Côte d'Ivoire. Le domaine paiement reste incomplet sans lui malgré sa profondeur</w:t>
            </w:r>
          </w:p>
        </w:tc>
      </w:tr>
      <w:tr>
        <w:trPr>
          <w:cantSplit/>
        </w:trPr>
        <w:tc>
          <w:tcPr>
            <w:tcW w:w="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6</w:t>
            </w:r>
          </w:p>
        </w:tc>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Pharmacie (P7)</w:t>
            </w:r>
          </w:p>
        </w:tc>
        <w:tc>
          <w:tcPr>
            <w:tcW w:w="5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Ferme la boucle Médecin → Patient → Pharmacie</w:t>
            </w:r>
          </w:p>
        </w:tc>
      </w:tr>
      <w:tr>
        <w:trPr>
          <w:cantSplit/>
        </w:trPr>
        <w:tc>
          <w:tcPr>
            <w:tcW w:w="900" w:type="dxa"/>
            <w:vAlign w:val="center"/>
            <w:tcMar>
              <w:top w:w="60" w:type="dxa"/>
              <w:bottom w:w="60" w:type="dxa"/>
              <w:left w:w="90" w:type="dxa"/>
              <w:right w:w="90" w:type="dxa"/>
            </w:tcMar>
          </w:tcPr>
          <w:p>
            <w:pPr>
              <w:spacing w:before="20" w:after="20"/>
            </w:pPr>
            <w:r>
              <w:rPr>
                <w:rFonts w:ascii="Calibri" w:hAnsi="Calibri"/>
                <w:color w:val="11212E"/>
                <w:sz w:val="18"/>
              </w:rPr>
              <w:t xml:space="preserve">7</w:t>
            </w:r>
          </w:p>
        </w:tc>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Espaces professionnels web (P8)</w:t>
            </w:r>
          </w:p>
        </w:tc>
        <w:tc>
          <w:tcPr>
            <w:tcW w:w="5840" w:type="dxa"/>
            <w:vAlign w:val="center"/>
            <w:tcMar>
              <w:top w:w="60" w:type="dxa"/>
              <w:bottom w:w="60" w:type="dxa"/>
              <w:left w:w="90" w:type="dxa"/>
              <w:right w:w="90" w:type="dxa"/>
            </w:tcMar>
          </w:tcPr>
          <w:p>
            <w:pPr>
              <w:spacing w:before="20" w:after="20"/>
            </w:pPr>
            <w:r>
              <w:rPr>
                <w:rFonts w:ascii="Calibri" w:hAnsi="Calibri"/>
                <w:color w:val="11212E"/>
                <w:sz w:val="18"/>
              </w:rPr>
              <w:t xml:space="preserve">Infirmier, Secrétaire, Laboratoire, Radiologie, et migration Blade vers Next (ADR-011)</w:t>
            </w:r>
          </w:p>
        </w:tc>
      </w:tr>
      <w:tr>
        <w:trPr>
          <w:cantSplit/>
        </w:trPr>
        <w:tc>
          <w:tcPr>
            <w:tcW w:w="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8</w:t>
            </w:r>
          </w:p>
        </w:tc>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Notifications et EDA (RabbitMQ, Outbox, Saga)</w:t>
            </w:r>
          </w:p>
        </w:tc>
        <w:tc>
          <w:tcPr>
            <w:tcW w:w="5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Transverse ; conditionne tous les workflows inter-modules</w:t>
            </w:r>
          </w:p>
        </w:tc>
      </w:tr>
      <w:tr>
        <w:trPr>
          <w:cantSplit/>
        </w:trPr>
        <w:tc>
          <w:tcPr>
            <w:tcW w:w="900" w:type="dxa"/>
            <w:vAlign w:val="center"/>
            <w:tcMar>
              <w:top w:w="60" w:type="dxa"/>
              <w:bottom w:w="60" w:type="dxa"/>
              <w:left w:w="90" w:type="dxa"/>
              <w:right w:w="90" w:type="dxa"/>
            </w:tcMar>
          </w:tcPr>
          <w:p>
            <w:pPr>
              <w:spacing w:before="20" w:after="20"/>
            </w:pPr>
            <w:r>
              <w:rPr>
                <w:rFonts w:ascii="Calibri" w:hAnsi="Calibri"/>
                <w:color w:val="11212E"/>
                <w:sz w:val="18"/>
              </w:rPr>
              <w:t xml:space="preserve">9</w:t>
            </w:r>
          </w:p>
        </w:tc>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Téléconsultation, urgences et ambulance, hospitalisation</w:t>
            </w:r>
          </w:p>
        </w:tc>
        <w:tc>
          <w:tcPr>
            <w:tcW w:w="5840" w:type="dxa"/>
            <w:vAlign w:val="center"/>
            <w:tcMar>
              <w:top w:w="60" w:type="dxa"/>
              <w:bottom w:w="60" w:type="dxa"/>
              <w:left w:w="90" w:type="dxa"/>
              <w:right w:w="90" w:type="dxa"/>
            </w:tcMar>
          </w:tcPr>
          <w:p>
            <w:pPr>
              <w:spacing w:before="20" w:after="20"/>
            </w:pPr>
          </w:p>
        </w:tc>
      </w:tr>
      <w:tr>
        <w:trPr>
          <w:cantSplit/>
        </w:trPr>
        <w:tc>
          <w:tcPr>
            <w:tcW w:w="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10</w:t>
            </w:r>
          </w:p>
        </w:tc>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Portails Ministère, Assurance, Statistiques et Console IA</w:t>
            </w:r>
          </w:p>
        </w:tc>
        <w:tc>
          <w:tcPr>
            <w:tcW w:w="5840" w:type="dxa"/>
            <w:shd w:val="clear" w:fill="F2F8FD"/>
            <w:vAlign w:val="center"/>
            <w:tcMar>
              <w:top w:w="60" w:type="dxa"/>
              <w:bottom w:w="60" w:type="dxa"/>
              <w:left w:w="90" w:type="dxa"/>
              <w:right w:w="90" w:type="dxa"/>
            </w:tcMar>
          </w:tcPr>
          <w:p>
            <w:pPr>
              <w:spacing w:before="20" w:after="20"/>
            </w:pPr>
          </w:p>
        </w:tc>
      </w:tr>
      <w:tr>
        <w:trPr>
          <w:cantSplit/>
        </w:trPr>
        <w:tc>
          <w:tcPr>
            <w:tcW w:w="900" w:type="dxa"/>
            <w:vAlign w:val="center"/>
            <w:tcMar>
              <w:top w:w="60" w:type="dxa"/>
              <w:bottom w:w="60" w:type="dxa"/>
              <w:left w:w="90" w:type="dxa"/>
              <w:right w:w="90" w:type="dxa"/>
            </w:tcMar>
          </w:tcPr>
          <w:p>
            <w:pPr>
              <w:spacing w:before="20" w:after="20"/>
            </w:pPr>
            <w:r>
              <w:rPr>
                <w:rFonts w:ascii="Calibri" w:hAnsi="Calibri"/>
                <w:color w:val="11212E"/>
                <w:sz w:val="18"/>
              </w:rPr>
              <w:t xml:space="preserve">11</w:t>
            </w:r>
          </w:p>
        </w:tc>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CDC_07 IA générative et CDC_13 plateforme de données</w:t>
            </w:r>
          </w:p>
        </w:tc>
        <w:tc>
          <w:tcPr>
            <w:tcW w:w="5840" w:type="dxa"/>
            <w:vAlign w:val="center"/>
            <w:tcMar>
              <w:top w:w="60" w:type="dxa"/>
              <w:bottom w:w="60" w:type="dxa"/>
              <w:left w:w="90" w:type="dxa"/>
              <w:right w:w="90" w:type="dxa"/>
            </w:tcMar>
          </w:tcPr>
          <w:p>
            <w:pPr>
              <w:spacing w:before="20" w:after="20"/>
            </w:pPr>
          </w:p>
        </w:tc>
      </w:tr>
      <w:tr>
        <w:trPr>
          <w:cantSplit/>
        </w:trPr>
        <w:tc>
          <w:tcPr>
            <w:tcW w:w="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12</w:t>
            </w:r>
          </w:p>
        </w:tc>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Durcissement CDC_10 et CDC_12</w:t>
            </w:r>
          </w:p>
        </w:tc>
        <w:tc>
          <w:tcPr>
            <w:tcW w:w="5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Keycloak, PKI et HSM, Kubernetes, SIEM, HA/DR, tests d'intrusion</w:t>
            </w:r>
          </w:p>
        </w:tc>
      </w:tr>
    </w:tbl>
    <w:p>
      <w:pPr>
        <w:spacing w:before="0" w:after="100"/>
      </w:pPr>
    </w:p>
    <w:p>
      <w:r>
        <w:br w:type="page"/>
      </w:r>
    </w:p>
    <w:p>
      <w:pPr>
        <w:pStyle w:val="Heading1"/>
        <w:keepNext/>
        <w:spacing w:before="400" w:after="120"/>
      </w:pPr>
      <w:r>
        <w:rPr>
          <w:b/>
          <w:color w:val="1E6BB8"/>
          <w:sz w:val="32"/>
        </w:rPr>
        <w:t xml:space="preserve">Synthèse</w:t>
      </w:r>
    </w:p>
    <w:tbl>
      <w:tblPr>
        <w:tblW w:w="9640" w:type="dxa"/>
        <w:tblBorders>
          <w:top w:val="single" w:sz="4" w:space="0" w:color="BCD6F0"/>
          <w:left w:val="single" w:sz="4" w:space="0" w:color="BCD6F0"/>
          <w:bottom w:val="single" w:sz="4" w:space="0" w:color="BCD6F0"/>
          <w:right w:val="single" w:sz="4" w:space="0" w:color="BCD6F0"/>
          <w:insideH w:val="single" w:sz="4" w:space="0" w:color="BCD6F0"/>
          <w:insideV w:val="single" w:sz="4" w:space="0" w:color="BCD6F0"/>
        </w:tblBorders>
        <w:tblLayout w:type="fixed"/>
      </w:tblPr>
      <w:tblGrid>
        <w:gridCol w:w="2900"/>
        <w:gridCol w:w="1900"/>
        <w:gridCol w:w="4840"/>
      </w:tblGrid>
      <w:tr>
        <w:trPr>
          <w:tblHeader/>
          <w:cantSplit/>
        </w:trPr>
        <w:tc>
          <w:tcPr>
            <w:tcW w:w="290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Cahier des charges</w:t>
            </w:r>
          </w:p>
        </w:tc>
        <w:tc>
          <w:tcPr>
            <w:tcW w:w="190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Couverture estimée</w:t>
            </w:r>
          </w:p>
        </w:tc>
        <w:tc>
          <w:tcPr>
            <w:tcW w:w="4840" w:type="dxa"/>
            <w:shd w:val="clear" w:fill="1E6BB8"/>
            <w:vAlign w:val="center"/>
            <w:tcMar>
              <w:top w:w="60" w:type="dxa"/>
              <w:bottom w:w="60" w:type="dxa"/>
              <w:left w:w="90" w:type="dxa"/>
              <w:right w:w="90" w:type="dxa"/>
            </w:tcMar>
          </w:tcPr>
          <w:p>
            <w:pPr>
              <w:spacing w:before="20" w:after="20"/>
            </w:pPr>
            <w:r>
              <w:rPr>
                <w:rFonts w:ascii="Calibri" w:hAnsi="Calibri"/>
                <w:b/>
                <w:color w:val="FFFFFF"/>
                <w:sz w:val="18"/>
              </w:rPr>
              <w:t xml:space="preserve">Commentaire</w:t>
            </w:r>
          </w:p>
        </w:tc>
      </w:tr>
      <w:tr>
        <w:trPr>
          <w:cantSplit/>
        </w:trPr>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CDC_06 — Paiement</w:t>
            </w:r>
          </w:p>
        </w:tc>
        <w:tc>
          <w:tcPr>
            <w:tcW w:w="1900" w:type="dxa"/>
            <w:vAlign w:val="center"/>
            <w:tcMar>
              <w:top w:w="60" w:type="dxa"/>
              <w:bottom w:w="60" w:type="dxa"/>
              <w:left w:w="90" w:type="dxa"/>
              <w:right w:w="90" w:type="dxa"/>
            </w:tcMar>
          </w:tcPr>
          <w:p>
            <w:pPr>
              <w:spacing w:before="20" w:after="20"/>
            </w:pPr>
            <w:r>
              <w:rPr>
                <w:rFonts w:ascii="Calibri" w:hAnsi="Calibri"/>
                <w:color w:val="11212E"/>
                <w:sz w:val="18"/>
              </w:rPr>
              <w:t xml:space="preserve">≈ 75 %</w:t>
            </w:r>
          </w:p>
        </w:tc>
        <w:tc>
          <w:tcPr>
            <w:tcW w:w="4840" w:type="dxa"/>
            <w:vAlign w:val="center"/>
            <w:tcMar>
              <w:top w:w="60" w:type="dxa"/>
              <w:bottom w:w="60" w:type="dxa"/>
              <w:left w:w="90" w:type="dxa"/>
              <w:right w:w="90" w:type="dxa"/>
            </w:tcMar>
          </w:tcPr>
          <w:p>
            <w:pPr>
              <w:spacing w:before="20" w:after="20"/>
            </w:pPr>
            <w:r>
              <w:rPr>
                <w:rFonts w:ascii="Calibri" w:hAnsi="Calibri"/>
                <w:color w:val="11212E"/>
                <w:sz w:val="18"/>
              </w:rPr>
              <w:t xml:space="preserve">Profond et rigoureux, mais Mobile Money absent</w:t>
            </w:r>
          </w:p>
        </w:tc>
      </w:tr>
      <w:tr>
        <w:trPr>
          <w:cantSplit/>
        </w:trPr>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CDC_01 — Mobile</w:t>
            </w:r>
          </w:p>
        </w:tc>
        <w:tc>
          <w:tcPr>
            <w:tcW w:w="1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 40 %</w:t>
            </w:r>
          </w:p>
        </w:tc>
        <w:tc>
          <w:tcPr>
            <w:tcW w:w="4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5 modules livrés sur 13</w:t>
            </w:r>
          </w:p>
        </w:tc>
      </w:tr>
      <w:tr>
        <w:trPr>
          <w:cantSplit/>
        </w:trPr>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CDC_03 — Backend</w:t>
            </w:r>
          </w:p>
        </w:tc>
        <w:tc>
          <w:tcPr>
            <w:tcW w:w="1900" w:type="dxa"/>
            <w:vAlign w:val="center"/>
            <w:tcMar>
              <w:top w:w="60" w:type="dxa"/>
              <w:bottom w:w="60" w:type="dxa"/>
              <w:left w:w="90" w:type="dxa"/>
              <w:right w:w="90" w:type="dxa"/>
            </w:tcMar>
          </w:tcPr>
          <w:p>
            <w:pPr>
              <w:spacing w:before="20" w:after="20"/>
            </w:pPr>
            <w:r>
              <w:rPr>
                <w:rFonts w:ascii="Calibri" w:hAnsi="Calibri"/>
                <w:color w:val="11212E"/>
                <w:sz w:val="18"/>
              </w:rPr>
              <w:t xml:space="preserve">≈ 30 %</w:t>
            </w:r>
          </w:p>
        </w:tc>
        <w:tc>
          <w:tcPr>
            <w:tcW w:w="4840" w:type="dxa"/>
            <w:vAlign w:val="center"/>
            <w:tcMar>
              <w:top w:w="60" w:type="dxa"/>
              <w:bottom w:w="60" w:type="dxa"/>
              <w:left w:w="90" w:type="dxa"/>
              <w:right w:w="90" w:type="dxa"/>
            </w:tcMar>
          </w:tcPr>
          <w:p>
            <w:pPr>
              <w:spacing w:before="20" w:after="20"/>
            </w:pPr>
            <w:r>
              <w:rPr>
                <w:rFonts w:ascii="Calibri" w:hAnsi="Calibri"/>
                <w:color w:val="11212E"/>
                <w:sz w:val="18"/>
              </w:rPr>
              <w:t xml:space="preserve">Modules médicaux centraux manquants</w:t>
            </w:r>
          </w:p>
        </w:tc>
      </w:tr>
      <w:tr>
        <w:trPr>
          <w:cantSplit/>
        </w:trPr>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CDC_10 — Sécurité</w:t>
            </w:r>
          </w:p>
        </w:tc>
        <w:tc>
          <w:tcPr>
            <w:tcW w:w="1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 30 %</w:t>
            </w:r>
          </w:p>
        </w:tc>
        <w:tc>
          <w:tcPr>
            <w:tcW w:w="4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Socle présent, durcissement à faire</w:t>
            </w:r>
          </w:p>
        </w:tc>
      </w:tr>
      <w:tr>
        <w:trPr>
          <w:cantSplit/>
        </w:trPr>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CDC_02 — Web</w:t>
            </w:r>
          </w:p>
        </w:tc>
        <w:tc>
          <w:tcPr>
            <w:tcW w:w="1900" w:type="dxa"/>
            <w:vAlign w:val="center"/>
            <w:tcMar>
              <w:top w:w="60" w:type="dxa"/>
              <w:bottom w:w="60" w:type="dxa"/>
              <w:left w:w="90" w:type="dxa"/>
              <w:right w:w="90" w:type="dxa"/>
            </w:tcMar>
          </w:tcPr>
          <w:p>
            <w:pPr>
              <w:spacing w:before="20" w:after="20"/>
            </w:pPr>
            <w:r>
              <w:rPr>
                <w:rFonts w:ascii="Calibri" w:hAnsi="Calibri"/>
                <w:color w:val="11212E"/>
                <w:sz w:val="18"/>
              </w:rPr>
              <w:t xml:space="preserve">≈ 25 %</w:t>
            </w:r>
          </w:p>
        </w:tc>
        <w:tc>
          <w:tcPr>
            <w:tcW w:w="4840" w:type="dxa"/>
            <w:vAlign w:val="center"/>
            <w:tcMar>
              <w:top w:w="60" w:type="dxa"/>
              <w:bottom w:w="60" w:type="dxa"/>
              <w:left w:w="90" w:type="dxa"/>
              <w:right w:w="90" w:type="dxa"/>
            </w:tcMar>
          </w:tcPr>
          <w:p>
            <w:pPr>
              <w:spacing w:before="20" w:after="20"/>
            </w:pPr>
            <w:r>
              <w:rPr>
                <w:rFonts w:ascii="Calibri" w:hAnsi="Calibri"/>
                <w:color w:val="11212E"/>
                <w:sz w:val="18"/>
              </w:rPr>
              <w:t xml:space="preserve">2 modules livrés sur 8</w:t>
            </w:r>
          </w:p>
        </w:tc>
      </w:tr>
      <w:tr>
        <w:trPr>
          <w:cantSplit/>
        </w:trPr>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CDC_04 — Base de données</w:t>
            </w:r>
          </w:p>
        </w:tc>
        <w:tc>
          <w:tcPr>
            <w:tcW w:w="1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 25 %</w:t>
            </w:r>
          </w:p>
        </w:tc>
        <w:tc>
          <w:tcPr>
            <w:tcW w:w="4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MySQL au lieu de PostgreSQL, ~90 tables manquantes</w:t>
            </w:r>
          </w:p>
        </w:tc>
      </w:tr>
      <w:tr>
        <w:trPr>
          <w:cantSplit/>
        </w:trPr>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CDC_11 — Applications</w:t>
            </w:r>
          </w:p>
        </w:tc>
        <w:tc>
          <w:tcPr>
            <w:tcW w:w="1900" w:type="dxa"/>
            <w:vAlign w:val="center"/>
            <w:tcMar>
              <w:top w:w="60" w:type="dxa"/>
              <w:bottom w:w="60" w:type="dxa"/>
              <w:left w:w="90" w:type="dxa"/>
              <w:right w:w="90" w:type="dxa"/>
            </w:tcMar>
          </w:tcPr>
          <w:p>
            <w:pPr>
              <w:spacing w:before="20" w:after="20"/>
            </w:pPr>
            <w:r>
              <w:rPr>
                <w:rFonts w:ascii="Calibri" w:hAnsi="Calibri"/>
                <w:color w:val="11212E"/>
                <w:sz w:val="18"/>
              </w:rPr>
              <w:t xml:space="preserve">≈ 20 %</w:t>
            </w:r>
          </w:p>
        </w:tc>
        <w:tc>
          <w:tcPr>
            <w:tcW w:w="4840" w:type="dxa"/>
            <w:vAlign w:val="center"/>
            <w:tcMar>
              <w:top w:w="60" w:type="dxa"/>
              <w:bottom w:w="60" w:type="dxa"/>
              <w:left w:w="90" w:type="dxa"/>
              <w:right w:w="90" w:type="dxa"/>
            </w:tcMar>
          </w:tcPr>
          <w:p>
            <w:pPr>
              <w:spacing w:before="20" w:after="20"/>
            </w:pPr>
            <w:r>
              <w:rPr>
                <w:rFonts w:ascii="Calibri" w:hAnsi="Calibri"/>
                <w:color w:val="11212E"/>
                <w:sz w:val="18"/>
              </w:rPr>
              <w:t xml:space="preserve">2 applications sur 10</w:t>
            </w:r>
          </w:p>
        </w:tc>
      </w:tr>
      <w:tr>
        <w:trPr>
          <w:cantSplit/>
        </w:trPr>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CDC_05 — IA prédictive</w:t>
            </w:r>
          </w:p>
        </w:tc>
        <w:tc>
          <w:tcPr>
            <w:tcW w:w="1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 10 %</w:t>
            </w:r>
          </w:p>
        </w:tc>
        <w:tc>
          <w:tcPr>
            <w:tcW w:w="4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1 microservice sur 14</w:t>
            </w:r>
          </w:p>
        </w:tc>
      </w:tr>
      <w:tr>
        <w:trPr>
          <w:cantSplit/>
        </w:trPr>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CDC_09 — Données nationales</w:t>
            </w:r>
          </w:p>
        </w:tc>
        <w:tc>
          <w:tcPr>
            <w:tcW w:w="1900" w:type="dxa"/>
            <w:vAlign w:val="center"/>
            <w:tcMar>
              <w:top w:w="60" w:type="dxa"/>
              <w:bottom w:w="60" w:type="dxa"/>
              <w:left w:w="90" w:type="dxa"/>
              <w:right w:w="90" w:type="dxa"/>
            </w:tcMar>
          </w:tcPr>
          <w:p>
            <w:pPr>
              <w:spacing w:before="20" w:after="20"/>
            </w:pPr>
            <w:r>
              <w:rPr>
                <w:rFonts w:ascii="Calibri" w:hAnsi="Calibri"/>
                <w:color w:val="11212E"/>
                <w:sz w:val="18"/>
              </w:rPr>
              <w:t xml:space="preserve">≈ 5 %</w:t>
            </w:r>
          </w:p>
        </w:tc>
        <w:tc>
          <w:tcPr>
            <w:tcW w:w="4840" w:type="dxa"/>
            <w:vAlign w:val="center"/>
            <w:tcMar>
              <w:top w:w="60" w:type="dxa"/>
              <w:bottom w:w="60" w:type="dxa"/>
              <w:left w:w="90" w:type="dxa"/>
              <w:right w:w="90" w:type="dxa"/>
            </w:tcMar>
          </w:tcPr>
          <w:p>
            <w:pPr>
              <w:spacing w:before="20" w:after="20"/>
            </w:pPr>
            <w:r>
              <w:rPr>
                <w:rFonts w:ascii="Calibri" w:hAnsi="Calibri"/>
                <w:color w:val="11212E"/>
                <w:sz w:val="18"/>
              </w:rPr>
              <w:t xml:space="preserve">Prérequis bloquant non posé</w:t>
            </w:r>
          </w:p>
        </w:tc>
      </w:tr>
      <w:tr>
        <w:trPr>
          <w:cantSplit/>
        </w:trPr>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CDC_12 — Microservices</w:t>
            </w:r>
          </w:p>
        </w:tc>
        <w:tc>
          <w:tcPr>
            <w:tcW w:w="1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 5 %</w:t>
            </w:r>
          </w:p>
        </w:tc>
        <w:tc>
          <w:tcPr>
            <w:tcW w:w="4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3 services sur 24, pas de gateway ni de mesh</w:t>
            </w:r>
          </w:p>
        </w:tc>
      </w:tr>
      <w:tr>
        <w:trPr>
          <w:cantSplit/>
        </w:trPr>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CDC_08 — Protocoles médicaux</w:t>
            </w:r>
          </w:p>
        </w:tc>
        <w:tc>
          <w:tcPr>
            <w:tcW w:w="1900" w:type="dxa"/>
            <w:vAlign w:val="center"/>
            <w:tcMar>
              <w:top w:w="60" w:type="dxa"/>
              <w:bottom w:w="60" w:type="dxa"/>
              <w:left w:w="90" w:type="dxa"/>
              <w:right w:w="90" w:type="dxa"/>
            </w:tcMar>
          </w:tcPr>
          <w:p>
            <w:pPr>
              <w:spacing w:before="20" w:after="20"/>
            </w:pPr>
            <w:r>
              <w:rPr>
                <w:rFonts w:ascii="Calibri" w:hAnsi="Calibri"/>
                <w:color w:val="11212E"/>
                <w:sz w:val="18"/>
              </w:rPr>
              <w:t xml:space="preserve">0 %</w:t>
            </w:r>
          </w:p>
        </w:tc>
        <w:tc>
          <w:tcPr>
            <w:tcW w:w="4840" w:type="dxa"/>
            <w:vAlign w:val="center"/>
            <w:tcMar>
              <w:top w:w="60" w:type="dxa"/>
              <w:bottom w:w="60" w:type="dxa"/>
              <w:left w:w="90" w:type="dxa"/>
              <w:right w:w="90" w:type="dxa"/>
            </w:tcMar>
          </w:tcPr>
          <w:p>
            <w:pPr>
              <w:spacing w:before="20" w:after="20"/>
            </w:pPr>
            <w:r>
              <w:rPr>
                <w:rFonts w:ascii="Calibri" w:hAnsi="Calibri"/>
                <w:color w:val="11212E"/>
                <w:sz w:val="18"/>
              </w:rPr>
              <w:t xml:space="preserve">Intégralité à construire</w:t>
            </w:r>
          </w:p>
        </w:tc>
      </w:tr>
      <w:tr>
        <w:trPr>
          <w:cantSplit/>
        </w:trPr>
        <w:tc>
          <w:tcPr>
            <w:tcW w:w="2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CDC_07 — IA générative</w:t>
            </w:r>
          </w:p>
        </w:tc>
        <w:tc>
          <w:tcPr>
            <w:tcW w:w="190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0 %</w:t>
            </w:r>
          </w:p>
        </w:tc>
        <w:tc>
          <w:tcPr>
            <w:tcW w:w="4840" w:type="dxa"/>
            <w:shd w:val="clear" w:fill="F2F8FD"/>
            <w:vAlign w:val="center"/>
            <w:tcMar>
              <w:top w:w="60" w:type="dxa"/>
              <w:bottom w:w="60" w:type="dxa"/>
              <w:left w:w="90" w:type="dxa"/>
              <w:right w:w="90" w:type="dxa"/>
            </w:tcMar>
          </w:tcPr>
          <w:p>
            <w:pPr>
              <w:spacing w:before="20" w:after="20"/>
            </w:pPr>
            <w:r>
              <w:rPr>
                <w:rFonts w:ascii="Calibri" w:hAnsi="Calibri"/>
                <w:color w:val="11212E"/>
                <w:sz w:val="18"/>
              </w:rPr>
              <w:t xml:space="preserve">Intégralité à construire</w:t>
            </w:r>
          </w:p>
        </w:tc>
      </w:tr>
      <w:tr>
        <w:trPr>
          <w:cantSplit/>
        </w:trPr>
        <w:tc>
          <w:tcPr>
            <w:tcW w:w="2900" w:type="dxa"/>
            <w:vAlign w:val="center"/>
            <w:tcMar>
              <w:top w:w="60" w:type="dxa"/>
              <w:bottom w:w="60" w:type="dxa"/>
              <w:left w:w="90" w:type="dxa"/>
              <w:right w:w="90" w:type="dxa"/>
            </w:tcMar>
          </w:tcPr>
          <w:p>
            <w:pPr>
              <w:spacing w:before="20" w:after="20"/>
            </w:pPr>
            <w:r>
              <w:rPr>
                <w:rFonts w:ascii="Calibri" w:hAnsi="Calibri"/>
                <w:color w:val="11212E"/>
                <w:sz w:val="18"/>
              </w:rPr>
              <w:t xml:space="preserve">CDC_13 — Plateforme de données</w:t>
            </w:r>
          </w:p>
        </w:tc>
        <w:tc>
          <w:tcPr>
            <w:tcW w:w="1900" w:type="dxa"/>
            <w:vAlign w:val="center"/>
            <w:tcMar>
              <w:top w:w="60" w:type="dxa"/>
              <w:bottom w:w="60" w:type="dxa"/>
              <w:left w:w="90" w:type="dxa"/>
              <w:right w:w="90" w:type="dxa"/>
            </w:tcMar>
          </w:tcPr>
          <w:p>
            <w:pPr>
              <w:spacing w:before="20" w:after="20"/>
            </w:pPr>
            <w:r>
              <w:rPr>
                <w:rFonts w:ascii="Calibri" w:hAnsi="Calibri"/>
                <w:color w:val="11212E"/>
                <w:sz w:val="18"/>
              </w:rPr>
              <w:t xml:space="preserve">0 %</w:t>
            </w:r>
          </w:p>
        </w:tc>
        <w:tc>
          <w:tcPr>
            <w:tcW w:w="4840" w:type="dxa"/>
            <w:vAlign w:val="center"/>
            <w:tcMar>
              <w:top w:w="60" w:type="dxa"/>
              <w:bottom w:w="60" w:type="dxa"/>
              <w:left w:w="90" w:type="dxa"/>
              <w:right w:w="90" w:type="dxa"/>
            </w:tcMar>
          </w:tcPr>
          <w:p>
            <w:pPr>
              <w:spacing w:before="20" w:after="20"/>
            </w:pPr>
            <w:r>
              <w:rPr>
                <w:rFonts w:ascii="Calibri" w:hAnsi="Calibri"/>
                <w:color w:val="11212E"/>
                <w:sz w:val="18"/>
              </w:rPr>
              <w:t xml:space="preserve">Intégralité à construire</w:t>
            </w:r>
          </w:p>
        </w:tc>
      </w:tr>
    </w:tbl>
    <w:p>
      <w:pPr>
        <w:spacing w:before="0" w:after="100"/>
      </w:pPr>
    </w:p>
    <w:p>
      <w:pPr>
        <w:pStyle w:val="Heading2"/>
        <w:keepNext/>
        <w:spacing w:before="320" w:after="120"/>
      </w:pPr>
      <w:r>
        <w:rPr>
          <w:b/>
          <w:color w:val="1E6BB8"/>
          <w:sz w:val="26"/>
        </w:rPr>
        <w:t xml:space="preserve">Deux points appelant une décision du propriétaire</w:t>
      </w:r>
    </w:p>
    <w:tbl>
      <w:tblPr>
        <w:tblW w:w="9640" w:type="dxa"/>
        <w:tblLayout w:type="fixed"/>
      </w:tblPr>
      <w:tblGrid>
        <w:gridCol w:w="9640"/>
      </w:tblGrid>
      <w:tr>
        <w:trPr>
          <w:cantSplit/>
        </w:trPr>
        <w:tc>
          <w:tcPr>
            <w:tcW w:w="9640" w:type="dxa"/>
            <w:shd w:val="clear" w:fill="FDECEC"/>
            <w:tcBorders>
              <w:left w:val="single" w:sz="24" w:space="0" w:color="C0392B"/>
              <w:top w:val="single" w:sz="2" w:space="0" w:color="FDECEC"/>
              <w:bottom w:val="single" w:sz="2" w:space="0" w:color="FDECEC"/>
              <w:right w:val="single" w:sz="2" w:space="0" w:color="FDECEC"/>
            </w:tcBorders>
            <w:tcMar>
              <w:top w:w="120" w:type="dxa"/>
              <w:bottom w:w="120" w:type="dxa"/>
              <w:left w:w="200" w:type="dxa"/>
              <w:right w:w="160" w:type="dxa"/>
            </w:tcMar>
          </w:tcPr>
          <w:p>
            <w:pPr>
              <w:spacing w:before="0" w:after="60"/>
            </w:pPr>
            <w:r>
              <w:rPr>
                <w:rFonts w:ascii="Calibri" w:hAnsi="Calibri"/>
                <w:b/>
                <w:color w:val="C0392B"/>
                <w:sz w:val="20"/>
              </w:rPr>
              <w:t xml:space="preserve">1. La violation active du triage</w:t>
            </w:r>
          </w:p>
          <w:p>
            <w:pPr>
              <w:spacing w:before="0" w:after="20"/>
            </w:pPr>
            <w:r>
              <w:rPr>
                <w:rFonts w:ascii="Calibri" w:hAnsi="Calibri"/>
                <w:color w:val="33475A"/>
                <w:sz w:val="19"/>
              </w:rPr>
              <w:t xml:space="preserve">TriageService.php code en dur des seuils médicaux et ne rend que trois niveaux. C'est l'interdit absolu n° 1 du CDC_00 §4, et le premier point qu'un jury regarde. La correction propre suppose le moteur de protocoles et doit donc suivre le CDC_08.</w:t>
            </w:r>
          </w:p>
        </w:tc>
      </w:tr>
    </w:tbl>
    <w:p>
      <w:pPr>
        <w:spacing w:before="0" w:after="120"/>
      </w:pPr>
    </w:p>
    <w:tbl>
      <w:tblPr>
        <w:tblW w:w="9640" w:type="dxa"/>
        <w:tblLayout w:type="fixed"/>
      </w:tblPr>
      <w:tblGrid>
        <w:gridCol w:w="9640"/>
      </w:tblGrid>
      <w:tr>
        <w:trPr>
          <w:cantSplit/>
        </w:trPr>
        <w:tc>
          <w:tcPr>
            <w:tcW w:w="9640" w:type="dxa"/>
            <w:shd w:val="clear" w:fill="FDF3E3"/>
            <w:tcBorders>
              <w:left w:val="single" w:sz="24" w:space="0" w:color="E8641B"/>
              <w:top w:val="single" w:sz="2" w:space="0" w:color="FDF3E3"/>
              <w:bottom w:val="single" w:sz="2" w:space="0" w:color="FDF3E3"/>
              <w:right w:val="single" w:sz="2" w:space="0" w:color="FDF3E3"/>
            </w:tcBorders>
            <w:tcMar>
              <w:top w:w="120" w:type="dxa"/>
              <w:bottom w:w="120" w:type="dxa"/>
              <w:left w:w="200" w:type="dxa"/>
              <w:right w:w="160" w:type="dxa"/>
            </w:tcMar>
          </w:tcPr>
          <w:p>
            <w:pPr>
              <w:spacing w:before="0" w:after="60"/>
            </w:pPr>
            <w:r>
              <w:rPr>
                <w:rFonts w:ascii="Calibri" w:hAnsi="Calibri"/>
                <w:b/>
                <w:color w:val="E8641B"/>
                <w:sz w:val="20"/>
              </w:rPr>
              <w:t xml:space="preserve">2. Le déséquilibre du plan de construction</w:t>
            </w:r>
          </w:p>
          <w:p>
            <w:pPr>
              <w:spacing w:before="0" w:after="20"/>
            </w:pPr>
            <w:r>
              <w:rPr>
                <w:rFonts w:ascii="Calibri" w:hAnsi="Calibri"/>
                <w:color w:val="33475A"/>
                <w:sz w:val="19"/>
              </w:rPr>
              <w:t xml:space="preserve">Poursuivre l'approfondissement du paiement et de la fraude pendant que le NIS, le MPI, les protocoles, la consultation et la prescription sont absents creuse l'écart avec le corpus. Recommandation : geler l'axe paiement et fraude, puis attaquer CDC_09 → CDC_08 → Triage.</w:t>
            </w:r>
          </w:p>
        </w:tc>
      </w:tr>
    </w:tbl>
    <w:p>
      <w:pPr>
        <w:spacing w:before="0" w:after="120"/>
      </w:pPr>
    </w:p>
    <w:p>
      <w:pPr>
        <w:pBdr>
          <w:bottom w:val="single" w:sz="6" w:space="1" w:color="BCD6F0"/>
        </w:pBdr>
        <w:spacing w:before="60" w:after="180"/>
      </w:pPr>
    </w:p>
    <w:p>
      <w:pPr>
        <w:jc w:val="center"/>
        <w:spacing w:before="0" w:after="40"/>
      </w:pPr>
      <w:r>
        <w:rPr>
          <w:rFonts w:ascii="Calibri" w:hAnsi="Calibri"/>
          <w:color w:val="62768A"/>
          <w:sz w:val="17"/>
        </w:rPr>
        <w:t xml:space="preserve">Document généré à partir de l'audit du dépôt IVOIRESANTE et de la lecture intégrale des 14 cahiers des charges du corpus MASANTÉ (CDC_00 à CDC_13).</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color w:val="11212E"/>
        <w:sz w:val="20"/>
        <w:szCs w:val="20"/>
        <w:lang w:val="fr-FR"/>
      </w:rPr>
    </w:rPrDefault>
    <w:pPrDefault>
      <w:pPr>
        <w:spacing w:after="120" w:line="264" w:lineRule="auto"/>
      </w:pPr>
    </w:pPrDefault>
  </w:docDefaults>
  <w:style w:type="paragraph" w:default="1" w:styleId="Normal">
    <w:name w:val="Normal"/>
    <w:qFormat/>
  </w:style>
  <w:style w:type="paragraph" w:styleId="Heading1">
    <w:name w:val="heading 1"/>
    <w:basedOn w:val="Normal"/>
    <w:qFormat/>
    <w:pPr>
      <w:keepNext/>
      <w:outlineLvl w:val="0"/>
      <w:spacing w:before="240" w:after="120"/>
    </w:pPr>
    <w:rPr>
      <w:rFonts w:ascii="Calibri" w:hAnsi="Calibri"/>
      <w:b/>
      <w:color w:val="1E6BB8"/>
      <w:sz w:val="32"/>
    </w:rPr>
  </w:style>
  <w:style w:type="paragraph" w:styleId="Heading2">
    <w:name w:val="heading 2"/>
    <w:basedOn w:val="Normal"/>
    <w:qFormat/>
    <w:pPr>
      <w:keepNext/>
      <w:outlineLvl w:val="1"/>
      <w:spacing w:before="240" w:after="120"/>
    </w:pPr>
    <w:rPr>
      <w:rFonts w:ascii="Calibri" w:hAnsi="Calibri"/>
      <w:b/>
      <w:color w:val="1E6BB8"/>
      <w:sz w:val="26"/>
    </w:rPr>
  </w:style>
  <w:style w:type="paragraph" w:styleId="Heading3">
    <w:name w:val="heading 3"/>
    <w:basedOn w:val="Normal"/>
    <w:qFormat/>
    <w:pPr>
      <w:keepNext/>
      <w:outlineLvl w:val="2"/>
      <w:spacing w:before="240" w:after="120"/>
    </w:pPr>
    <w:rPr>
      <w:rFonts w:ascii="Calibri" w:hAnsi="Calibri"/>
      <w:b/>
      <w:color w:val="11212E"/>
      <w:sz w:val="22"/>
    </w:rPr>
  </w:style>
  <w:style w:type="paragraph" w:styleId="Heading4">
    <w:name w:val="heading 4"/>
    <w:basedOn w:val="Normal"/>
    <w:qFormat/>
    <w:pPr>
      <w:keepNext/>
      <w:outlineLvl w:val="3"/>
      <w:spacing w:before="240" w:after="120"/>
    </w:pPr>
    <w:rPr>
      <w:rFonts w:ascii="Calibri" w:hAnsi="Calibri"/>
      <w:b/>
      <w:color w:val="33475A"/>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MASANTE Report Generator</Application>
  <Company>MASANTE</Company>
</Properties>
</file>

<file path=docProps/core.xml><?xml version="1.0" encoding="utf-8"?>
<cp:coreProperties xmlns:cp="http://schemas.openxmlformats.org/package/2006/metadata/core-properties" xmlns:dc="http://purl.org/dc/elements/1.1/" xmlns:dcterms="http://purl.org/dc/terms/" xmlns:xsi="http://www.w3.org/2001/XMLSchema-instance">
  <dc:title>MASANTE - Analyse d'avancement et reste a faire</dc:title>
  <dc:subject>Audit des 14 cahiers des charges confronte au code reel</dc:subject>
  <dc:creator>Projet MASANTE</dc:creator>
  <cp:lastModifiedBy>Projet MASANTE</cp:lastModifiedBy>
  <dcterms:created xsi:type="dcterms:W3CDTF">2026-08-10T23:19:32Z</dcterms:created>
  <dcterms:modified xsi:type="dcterms:W3CDTF">2026-08-10T23:19:32Z</dcterms:modified>
</cp:coreProperties>
</file>