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0C3463"/>
          <w:sz w:val="22"/>
          <w:szCs w:val="22"/>
        </w:rPr>
        <w:t xml:space="preserve">UNIVERSITÉ INTERNATIONALE DE YAMOUSSOUKRO (UIYA)</w:t>
      </w:r>
    </w:p>
    <w:p>
      <w:pPr>
        <w:spacing w:after="500"/>
        <w:jc w:val="center"/>
      </w:pPr>
      <w:r>
        <w:rPr>
          <w:color w:val="5A6B6F"/>
          <w:sz w:val="20"/>
          <w:szCs w:val="20"/>
        </w:rPr>
        <w:t xml:space="preserve">Génie Logiciel L3 — Projet IVOIRSANTÉ</w:t>
      </w:r>
    </w:p>
    <w:p>
      <w:pPr>
        <w:pBdr>
          <w:top w:val="single" w:color="1E6BB8" w:sz="12" w:space="16"/>
        </w:pBdr>
        <w:jc w:val="center"/>
      </w:pPr>
    </w:p>
    <w:p>
      <w:pPr>
        <w:spacing w:after="160" w:before="300"/>
        <w:jc w:val="center"/>
      </w:pPr>
      <w:r>
        <w:rPr>
          <w:b/>
          <w:bCs/>
          <w:color w:val="0C3463"/>
          <w:sz w:val="40"/>
          <w:szCs w:val="40"/>
        </w:rPr>
        <w:t xml:space="preserve">DESIGN SYSTEM DE L'APPLICATION</w:t>
      </w:r>
    </w:p>
    <w:p>
      <w:pPr>
        <w:spacing w:after="40"/>
        <w:jc w:val="center"/>
      </w:pPr>
      <w:r>
        <w:rPr>
          <w:color w:val="1E6BB8"/>
          <w:sz w:val="23"/>
          <w:szCs w:val="23"/>
        </w:rPr>
        <w:t xml:space="preserve">Identité bleu ciel · Dégradé signature · Couleurs sémantiques santé</w:t>
      </w:r>
    </w:p>
    <w:p>
      <w:pPr>
        <w:jc w:val="center"/>
      </w:pPr>
      <w:r>
        <w:rPr>
          <w:i/>
          <w:iCs/>
          <w:color w:val="5A6B6F"/>
          <w:sz w:val="20"/>
          <w:szCs w:val="20"/>
        </w:rPr>
        <w:t xml:space="preserve">Pour Expo (React Native, SDK 54) — interface mobile des 5 modules</w:t>
      </w:r>
    </w:p>
    <w:p>
      <w:pPr>
        <w:pBdr>
          <w:bottom w:val="single" w:color="1E6BB8" w:sz="12" w:space="16"/>
        </w:pBdr>
        <w:spacing w:before="16"/>
        <w:jc w:val="center"/>
      </w:pPr>
    </w:p>
    <w:p>
      <w:pPr>
        <w:spacing w:before="360"/>
        <w:jc w:val="center"/>
      </w:pPr>
      <w:r>
        <w:drawing>
          <wp:inline distT="0" distB="0" distL="0" distR="0">
            <wp:extent cx="1905000" cy="4029075"/>
            <wp:effectExtent t="0" r="0" b="0" l="0"/>
            <wp:docPr id="1" name="mockup" descr="Aperçu IVOIRSANTÉ" title="Maq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4029075"/>
                    </a:xfrm>
                    <a:prstGeom prst="rect">
                      <a:avLst/>
                    </a:prstGeom>
                  </pic:spPr>
                </pic:pic>
              </a:graphicData>
            </a:graphic>
          </wp:inline>
        </w:drawing>
      </w:r>
      <w:r>
        <w:t xml:space="preserve">   </w:t>
      </w:r>
      <w:r>
        <w:drawing>
          <wp:inline distT="0" distB="0" distL="0" distR="0">
            <wp:extent cx="1905000" cy="4029075"/>
            <wp:effectExtent t="0" r="0" b="0" l="0"/>
            <wp:docPr id="1" name="mockup" descr="Aperçu IVOIRSANTÉ" title="Maq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4029075"/>
                    </a:xfrm>
                    <a:prstGeom prst="rect">
                      <a:avLst/>
                    </a:prstGeom>
                  </pic:spPr>
                </pic:pic>
              </a:graphicData>
            </a:graphic>
          </wp:inline>
        </w:drawing>
      </w:r>
    </w:p>
    <w:p>
      <w:pPr>
        <w:spacing w:before="200"/>
        <w:jc w:val="center"/>
      </w:pPr>
      <w:r>
        <w:rPr>
          <w:color w:val="5A6B6F"/>
          <w:sz w:val="19"/>
          <w:szCs w:val="19"/>
        </w:rPr>
        <w:t xml:space="preserve">Auteur : Mathieu · Version 1.0 · Juin 2026</w:t>
      </w:r>
    </w:p>
    <w:p>
      <w:r>
        <w:br w:type="page"/>
      </w:r>
    </w:p>
    <w:p>
      <w:pPr>
        <w:spacing w:after="160"/>
      </w:pPr>
      <w:r>
        <w:rPr>
          <w:b/>
          <w:bCs/>
          <w:color w:val="0C3463"/>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Principes de design</w:t>
      </w:r>
    </w:p>
    <w:p>
      <w:pPr>
        <w:spacing w:after="120" w:line="276"/>
        <w:jc w:val="both"/>
      </w:pPr>
      <w:r>
        <w:t xml:space="preserve">Six principes guident chaque décision visuelle. Ils servent d'arbitre : en cas de doute, on tranche en faveur de la lisibilité et du sens.</w:t>
      </w:r>
    </w:p>
    <w:p>
      <w:pPr>
        <w:pStyle w:val="ListParagraph"/>
        <w:numPr>
          <w:ilvl w:val="0"/>
          <w:numId w:val="2"/>
        </w:numPr>
        <w:spacing w:after="80" w:line="268"/>
        <w:jc w:val="both"/>
      </w:pPr>
      <w:r>
        <w:rPr>
          <w:b/>
          <w:bCs/>
        </w:rPr>
        <w:t xml:space="preserve">Le bleu ciel est l'identité. </w:t>
      </w:r>
      <w:r>
        <w:t xml:space="preserve">Calme, confiance, propreté : le bleu domine toute l'application. C'est la couleur de référence du secteur de la santé.</w:t>
      </w:r>
    </w:p>
    <w:p>
      <w:pPr>
        <w:pStyle w:val="ListParagraph"/>
        <w:numPr>
          <w:ilvl w:val="0"/>
          <w:numId w:val="2"/>
        </w:numPr>
        <w:spacing w:after="80" w:line="268"/>
        <w:jc w:val="both"/>
      </w:pPr>
      <w:r>
        <w:rPr>
          <w:b/>
          <w:bCs/>
        </w:rPr>
        <w:t xml:space="preserve">La couleur porte un sens, elle ne décore pas. </w:t>
      </w:r>
      <w:r>
        <w:t xml:space="preserve">Le vert, l'orange et le rouge sont réservés aux fonctions de santé (niveaux de triage, disponibilité, urgence). Jamais en ornement.</w:t>
      </w:r>
    </w:p>
    <w:p>
      <w:pPr>
        <w:pStyle w:val="ListParagraph"/>
        <w:numPr>
          <w:ilvl w:val="0"/>
          <w:numId w:val="2"/>
        </w:numPr>
        <w:spacing w:after="80" w:line="268"/>
        <w:jc w:val="both"/>
      </w:pPr>
      <w:r>
        <w:rPr>
          <w:b/>
          <w:bCs/>
        </w:rPr>
        <w:t xml:space="preserve">Minimalisme. </w:t>
      </w:r>
      <w:r>
        <w:t xml:space="preserve">Beaucoup d'espace, peu d'éléments par écran, une seule action principale visible à la fois.</w:t>
      </w:r>
    </w:p>
    <w:p>
      <w:pPr>
        <w:pStyle w:val="ListParagraph"/>
        <w:numPr>
          <w:ilvl w:val="0"/>
          <w:numId w:val="2"/>
        </w:numPr>
        <w:spacing w:after="80" w:line="268"/>
        <w:jc w:val="both"/>
      </w:pPr>
      <w:r>
        <w:rPr>
          <w:b/>
          <w:bCs/>
        </w:rPr>
        <w:t xml:space="preserve">Lisibilité d'abord. </w:t>
      </w:r>
      <w:r>
        <w:t xml:space="preserve">Gros texte, fort contraste, repères redondants icône + couleur + texte — pensé pour un public à faible littératie numérique.</w:t>
      </w:r>
    </w:p>
    <w:p>
      <w:pPr>
        <w:pStyle w:val="ListParagraph"/>
        <w:numPr>
          <w:ilvl w:val="0"/>
          <w:numId w:val="2"/>
        </w:numPr>
        <w:spacing w:after="80" w:line="268"/>
        <w:jc w:val="both"/>
      </w:pPr>
      <w:r>
        <w:rPr>
          <w:b/>
          <w:bCs/>
        </w:rPr>
        <w:t xml:space="preserve">Légèreté. </w:t>
      </w:r>
      <w:r>
        <w:t xml:space="preserve">Animations discrètes, ombres subtiles : fluide même sur téléphone d'entrée de gamme et réseau 3G.</w:t>
      </w:r>
    </w:p>
    <w:p>
      <w:pPr>
        <w:pStyle w:val="ListParagraph"/>
        <w:numPr>
          <w:ilvl w:val="0"/>
          <w:numId w:val="2"/>
        </w:numPr>
        <w:spacing w:after="80" w:line="268"/>
        <w:jc w:val="both"/>
      </w:pPr>
      <w:r>
        <w:rPr>
          <w:b/>
          <w:bCs/>
        </w:rPr>
        <w:t xml:space="preserve">Cohérence. </w:t>
      </w:r>
      <w:r>
        <w:t xml:space="preserve">Les mêmes tokens (couleurs, espacements, composants) sur les cinq modules. On ne réinvente jamais un bouton.</w:t>
      </w:r>
    </w:p>
    <w:p>
      <w:r>
        <w:br w:type="page"/>
      </w:r>
    </w:p>
    <w:p>
      <w:pPr>
        <w:pStyle w:val="Heading1"/>
      </w:pPr>
      <w:r>
        <w:t xml:space="preserve">2. Système de couleurs</w:t>
      </w:r>
    </w:p>
    <w:p>
      <w:pPr>
        <w:spacing w:after="120" w:line="276"/>
        <w:jc w:val="both"/>
      </w:pPr>
      <w:r>
        <w:t xml:space="preserve">Toutes les couleurs sont des tokens nommés (source unique de vérité dans theme.ts). On n'écrit jamais une couleur en dur dans un écran.</w:t>
      </w:r>
    </w:p>
    <w:p>
      <w:pPr>
        <w:pStyle w:val="Heading2"/>
      </w:pPr>
      <w:r>
        <w:t xml:space="preserve">2.1 Échelle tonale du bleu de marque</w:t>
      </w:r>
    </w:p>
    <w:p>
      <w:pPr>
        <w:spacing w:after="120" w:line="276"/>
        <w:jc w:val="both"/>
      </w:pPr>
      <w:r>
        <w:t xml:space="preserve">Une échelle riche du plus clair au plus foncé : elle alimente le dégradé signature et fournit la variété de bleus demandée, tout en restant une seule famille cohérente.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5060"/>
      </w:tblGrid>
      <w:tr>
        <w:trPr>
          <w:tblHeader/>
        </w:trPr>
        <w:tc>
          <w:tcPr>
            <w:tcW w:type="dxa" w:w="9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
            </w:r>
          </w:p>
        </w:tc>
        <w:tc>
          <w:tcPr>
            <w:tcW w:type="dxa" w:w="17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Token</w:t>
            </w:r>
          </w:p>
        </w:tc>
        <w:tc>
          <w:tcPr>
            <w:tcW w:type="dxa" w:w="17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Hex</w:t>
            </w:r>
          </w:p>
        </w:tc>
        <w:tc>
          <w:tcPr>
            <w:tcW w:type="dxa" w:w="506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Usage</w:t>
            </w:r>
          </w:p>
        </w:tc>
      </w:tr>
      <w:tr>
        <w:tc>
          <w:tcPr>
            <w:tcW w:type="dxa" w:w="900"/>
            <w:tcBorders>
              <w:top w:val="single" w:color="C3D2DE" w:sz="1"/>
              <w:left w:val="single" w:color="C3D2DE" w:sz="1"/>
              <w:bottom w:val="single" w:color="C3D2DE" w:sz="1"/>
              <w:right w:val="single" w:color="C3D2DE" w:sz="1"/>
            </w:tcBorders>
            <w:shd w:fill="F2F8FD"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blue-50</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#F2F8FD</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Fond très clair, haut du dégradé, surfaces</w:t>
            </w:r>
          </w:p>
        </w:tc>
      </w:tr>
      <w:tr>
        <w:tc>
          <w:tcPr>
            <w:tcW w:type="dxa" w:w="900"/>
            <w:tcBorders>
              <w:top w:val="single" w:color="C3D2DE" w:sz="1"/>
              <w:left w:val="single" w:color="C3D2DE" w:sz="1"/>
              <w:bottom w:val="single" w:color="C3D2DE" w:sz="1"/>
              <w:right w:val="single" w:color="C3D2DE" w:sz="1"/>
            </w:tcBorders>
            <w:shd w:fill="DCEAF8"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blue-100</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#DCEAF8</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Fonds doux, cercles d'icônes</w:t>
            </w:r>
          </w:p>
        </w:tc>
      </w:tr>
      <w:tr>
        <w:tc>
          <w:tcPr>
            <w:tcW w:type="dxa" w:w="900"/>
            <w:tcBorders>
              <w:top w:val="single" w:color="C3D2DE" w:sz="1"/>
              <w:left w:val="single" w:color="C3D2DE" w:sz="1"/>
              <w:bottom w:val="single" w:color="C3D2DE" w:sz="1"/>
              <w:right w:val="single" w:color="C3D2DE" w:sz="1"/>
            </w:tcBorders>
            <w:shd w:fill="BCD6F0"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blue-200</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#BCD6F0</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Séparateurs colorés, états survolés</w:t>
            </w:r>
          </w:p>
        </w:tc>
      </w:tr>
      <w:tr>
        <w:tc>
          <w:tcPr>
            <w:tcW w:type="dxa" w:w="900"/>
            <w:tcBorders>
              <w:top w:val="single" w:color="C3D2DE" w:sz="1"/>
              <w:left w:val="single" w:color="C3D2DE" w:sz="1"/>
              <w:bottom w:val="single" w:color="C3D2DE" w:sz="1"/>
              <w:right w:val="single" w:color="C3D2DE" w:sz="1"/>
            </w:tcBorders>
            <w:shd w:fill="93BBE6"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blue-300</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#93BBE6</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Illustrations, accents clairs</w:t>
            </w:r>
          </w:p>
        </w:tc>
      </w:tr>
      <w:tr>
        <w:tc>
          <w:tcPr>
            <w:tcW w:type="dxa" w:w="900"/>
            <w:tcBorders>
              <w:top w:val="single" w:color="C3D2DE" w:sz="1"/>
              <w:left w:val="single" w:color="C3D2DE" w:sz="1"/>
              <w:bottom w:val="single" w:color="C3D2DE" w:sz="1"/>
              <w:right w:val="single" w:color="C3D2DE" w:sz="1"/>
            </w:tcBorders>
            <w:shd w:fill="6BA0DD"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blue-400</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#6BA0DD</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Dégradé, éléments décoratifs</w:t>
            </w:r>
          </w:p>
        </w:tc>
      </w:tr>
      <w:tr>
        <w:tc>
          <w:tcPr>
            <w:tcW w:type="dxa" w:w="900"/>
            <w:tcBorders>
              <w:top w:val="single" w:color="C3D2DE" w:sz="1"/>
              <w:left w:val="single" w:color="C3D2DE" w:sz="1"/>
              <w:bottom w:val="single" w:color="C3D2DE" w:sz="1"/>
              <w:right w:val="single" w:color="C3D2DE" w:sz="1"/>
            </w:tcBorders>
            <w:shd w:fill="2E83CC"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blue-500</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#2E83CC</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Accent clair, liens secondaires</w:t>
            </w:r>
          </w:p>
        </w:tc>
      </w:tr>
      <w:tr>
        <w:tc>
          <w:tcPr>
            <w:tcW w:type="dxa" w:w="9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blue-600</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#1E6BB8</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PRIMAIRE — boutons, liens, sélection</w:t>
            </w:r>
          </w:p>
        </w:tc>
      </w:tr>
      <w:tr>
        <w:tc>
          <w:tcPr>
            <w:tcW w:type="dxa" w:w="900"/>
            <w:tcBorders>
              <w:top w:val="single" w:color="C3D2DE" w:sz="1"/>
              <w:left w:val="single" w:color="C3D2DE" w:sz="1"/>
              <w:bottom w:val="single" w:color="C3D2DE" w:sz="1"/>
              <w:right w:val="single" w:color="C3D2DE" w:sz="1"/>
            </w:tcBorders>
            <w:shd w:fill="17569A"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blue-700</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#17569A</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Pressé / actif du primaire</w:t>
            </w:r>
          </w:p>
        </w:tc>
      </w:tr>
      <w:tr>
        <w:tc>
          <w:tcPr>
            <w:tcW w:type="dxa" w:w="900"/>
            <w:tcBorders>
              <w:top w:val="single" w:color="C3D2DE" w:sz="1"/>
              <w:left w:val="single" w:color="C3D2DE" w:sz="1"/>
              <w:bottom w:val="single" w:color="C3D2DE" w:sz="1"/>
              <w:right w:val="single" w:color="C3D2DE" w:sz="1"/>
            </w:tcBorders>
            <w:shd w:fill="124680"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blue-800</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#124680</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En-têtes sur fond clair</w:t>
            </w:r>
          </w:p>
        </w:tc>
      </w:tr>
      <w:tr>
        <w:tc>
          <w:tcPr>
            <w:tcW w:type="dxa" w:w="900"/>
            <w:tcBorders>
              <w:top w:val="single" w:color="C3D2DE" w:sz="1"/>
              <w:left w:val="single" w:color="C3D2DE" w:sz="1"/>
              <w:bottom w:val="single" w:color="C3D2DE" w:sz="1"/>
              <w:right w:val="single" w:color="C3D2DE" w:sz="1"/>
            </w:tcBorders>
            <w:shd w:fill="0C3463"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blue-900</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#0C3463</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Texte fort, titres, bas du dégradé</w:t>
            </w:r>
          </w:p>
        </w:tc>
      </w:tr>
    </w:tbl>
    <w:p>
      <w:pPr>
        <w:spacing w:after="120"/>
      </w:pPr>
    </w:p>
    <w:p>
      <w:pPr>
        <w:pStyle w:val="Heading2"/>
      </w:pPr>
      <w:r>
        <w:t xml:space="preserve">2.2 Dégradé signature</w:t>
      </w:r>
    </w:p>
    <w:p>
      <w:pPr>
        <w:spacing w:after="120" w:line="276"/>
        <w:jc w:val="both"/>
      </w:pPr>
      <w:r>
        <w:t xml:space="preserve">C'est la signature visuelle de l'app : un dégradé </w:t>
      </w:r>
      <w:r>
        <w:rPr>
          <w:b/>
          <w:bCs/>
        </w:rPr>
        <w:t xml:space="preserve">vertical</w:t>
      </w:r>
      <w:r>
        <w:t xml:space="preserve">, </w:t>
      </w:r>
      <w:r>
        <w:rPr>
          <w:b/>
          <w:bCs/>
        </w:rPr>
        <w:t xml:space="preserve">bleu pur en bas</w:t>
      </w:r>
      <w:r>
        <w:t xml:space="preserve"> qui s'éclaircit progressivement jusqu'à un bleu presque blanc en haut. Huit arrêts assurent une transition douce, sans bande ni cassure. Le contenu lisible vit sur des cartes blanches posées par-dessus.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5060"/>
      </w:tblGrid>
      <w:tr>
        <w:trPr>
          <w:tblHeader/>
        </w:trPr>
        <w:tc>
          <w:tcPr>
            <w:tcW w:type="dxa" w:w="9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
            </w:r>
          </w:p>
        </w:tc>
        <w:tc>
          <w:tcPr>
            <w:tcW w:type="dxa" w:w="17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Token</w:t>
            </w:r>
          </w:p>
        </w:tc>
        <w:tc>
          <w:tcPr>
            <w:tcW w:type="dxa" w:w="17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Hex</w:t>
            </w:r>
          </w:p>
        </w:tc>
        <w:tc>
          <w:tcPr>
            <w:tcW w:type="dxa" w:w="506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Usage</w:t>
            </w:r>
          </w:p>
        </w:tc>
      </w:tr>
      <w:tr>
        <w:tc>
          <w:tcPr>
            <w:tcW w:type="dxa" w:w="900"/>
            <w:tcBorders>
              <w:top w:val="single" w:color="C3D2DE" w:sz="1"/>
              <w:left w:val="single" w:color="C3D2DE" w:sz="1"/>
              <w:bottom w:val="single" w:color="C3D2DE" w:sz="1"/>
              <w:right w:val="single" w:color="C3D2DE" w:sz="1"/>
            </w:tcBorders>
            <w:shd w:fill="F2F8FD"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stop 0 (haut)</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#F2F8FD</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Sommet de l'écran — presque blanc</w:t>
            </w:r>
          </w:p>
        </w:tc>
      </w:tr>
      <w:tr>
        <w:tc>
          <w:tcPr>
            <w:tcW w:type="dxa" w:w="900"/>
            <w:tcBorders>
              <w:top w:val="single" w:color="C3D2DE" w:sz="1"/>
              <w:left w:val="single" w:color="C3D2DE" w:sz="1"/>
              <w:bottom w:val="single" w:color="C3D2DE" w:sz="1"/>
              <w:right w:val="single" w:color="C3D2DE" w:sz="1"/>
            </w:tcBorders>
            <w:shd w:fill="DCEAF8"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stop 0.16</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#DCEAF8</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w:t>
            </w:r>
          </w:p>
        </w:tc>
      </w:tr>
      <w:tr>
        <w:tc>
          <w:tcPr>
            <w:tcW w:type="dxa" w:w="900"/>
            <w:tcBorders>
              <w:top w:val="single" w:color="C3D2DE" w:sz="1"/>
              <w:left w:val="single" w:color="C3D2DE" w:sz="1"/>
              <w:bottom w:val="single" w:color="C3D2DE" w:sz="1"/>
              <w:right w:val="single" w:color="C3D2DE" w:sz="1"/>
            </w:tcBorders>
            <w:shd w:fill="BCD6F0"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stop 0.32</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#BCD6F0</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w:t>
            </w:r>
          </w:p>
        </w:tc>
      </w:tr>
      <w:tr>
        <w:tc>
          <w:tcPr>
            <w:tcW w:type="dxa" w:w="900"/>
            <w:tcBorders>
              <w:top w:val="single" w:color="C3D2DE" w:sz="1"/>
              <w:left w:val="single" w:color="C3D2DE" w:sz="1"/>
              <w:bottom w:val="single" w:color="C3D2DE" w:sz="1"/>
              <w:right w:val="single" w:color="C3D2DE" w:sz="1"/>
            </w:tcBorders>
            <w:shd w:fill="93BBE6"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stop 0.48</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#93BBE6</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Zone médiane — bleu ciel</w:t>
            </w:r>
          </w:p>
        </w:tc>
      </w:tr>
      <w:tr>
        <w:tc>
          <w:tcPr>
            <w:tcW w:type="dxa" w:w="900"/>
            <w:tcBorders>
              <w:top w:val="single" w:color="C3D2DE" w:sz="1"/>
              <w:left w:val="single" w:color="C3D2DE" w:sz="1"/>
              <w:bottom w:val="single" w:color="C3D2DE" w:sz="1"/>
              <w:right w:val="single" w:color="C3D2DE" w:sz="1"/>
            </w:tcBorders>
            <w:shd w:fill="6BA0DD"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stop 0.64</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#6BA0DD</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w:t>
            </w:r>
          </w:p>
        </w:tc>
      </w:tr>
      <w:tr>
        <w:tc>
          <w:tcPr>
            <w:tcW w:type="dxa" w:w="900"/>
            <w:tcBorders>
              <w:top w:val="single" w:color="C3D2DE" w:sz="1"/>
              <w:left w:val="single" w:color="C3D2DE" w:sz="1"/>
              <w:bottom w:val="single" w:color="C3D2DE" w:sz="1"/>
              <w:right w:val="single" w:color="C3D2DE" w:sz="1"/>
            </w:tcBorders>
            <w:shd w:fill="4684CE"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stop 0.80</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#4684CE</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w:t>
            </w:r>
          </w:p>
        </w:tc>
      </w:tr>
      <w:tr>
        <w:tc>
          <w:tcPr>
            <w:tcW w:type="dxa" w:w="900"/>
            <w:tcBorders>
              <w:top w:val="single" w:color="C3D2DE" w:sz="1"/>
              <w:left w:val="single" w:color="C3D2DE" w:sz="1"/>
              <w:bottom w:val="single" w:color="C3D2DE" w:sz="1"/>
              <w:right w:val="single" w:color="C3D2DE" w:sz="1"/>
            </w:tcBorders>
            <w:shd w:fill="2E6FBE"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stop 0.91</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#2E6FBE</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w:t>
            </w:r>
          </w:p>
        </w:tc>
      </w:tr>
      <w:tr>
        <w:tc>
          <w:tcPr>
            <w:tcW w:type="dxa" w:w="900"/>
            <w:tcBorders>
              <w:top w:val="single" w:color="C3D2DE" w:sz="1"/>
              <w:left w:val="single" w:color="C3D2DE" w:sz="1"/>
              <w:bottom w:val="single" w:color="C3D2DE" w:sz="1"/>
              <w:right w:val="single" w:color="C3D2DE" w:sz="1"/>
            </w:tcBorders>
            <w:shd w:fill="1E5BAA"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stop 1 (bas)</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#1E5BAA</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Bas de l'écran — bleu pur / profond</w:t>
            </w:r>
          </w:p>
        </w:tc>
      </w:tr>
    </w:tbl>
    <w:p>
      <w:pPr>
        <w:spacing w:after="120"/>
      </w:pPr>
    </w:p>
    <w:p>
      <w:pPr>
        <w:pStyle w:val="Heading2"/>
      </w:pPr>
      <w:r>
        <w:t xml:space="preserve">2.3 Couleurs sémantiques (réservées)</w:t>
      </w:r>
    </w:p>
    <w:p>
      <w:pPr>
        <w:spacing w:after="120" w:line="276"/>
        <w:jc w:val="both"/>
      </w:pPr>
      <w:r>
        <w:t xml:space="preserve">Trois familles, utilisées uniquement pour leur sens médical. Chaque famille a une couleur pleine (icône / point), un fond clair (badge) et un texte foncé (contraste garanti).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400"/>
        <w:gridCol w:w="1400"/>
        <w:gridCol w:w="3260"/>
      </w:tblGrid>
      <w:tr>
        <w:trPr>
          <w:tblHeader/>
        </w:trPr>
        <w:tc>
          <w:tcPr>
            <w:tcW w:type="dxa" w:w="19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Fonction</w:t>
            </w:r>
          </w:p>
        </w:tc>
        <w:tc>
          <w:tcPr>
            <w:tcW w:type="dxa" w:w="14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Plein</w:t>
            </w:r>
          </w:p>
        </w:tc>
        <w:tc>
          <w:tcPr>
            <w:tcW w:type="dxa" w:w="14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Fond</w:t>
            </w:r>
          </w:p>
        </w:tc>
        <w:tc>
          <w:tcPr>
            <w:tcW w:type="dxa" w:w="14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Texte</w:t>
            </w:r>
          </w:p>
        </w:tc>
        <w:tc>
          <w:tcPr>
            <w:tcW w:type="dxa" w:w="326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Usages</w:t>
            </w:r>
          </w:p>
        </w:tc>
      </w:tr>
      <w:tr>
        <w:tc>
          <w:tcPr>
            <w:tcW w:type="dxa" w:w="19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b/>
                <w:bCs/>
                <w:sz w:val="19"/>
                <w:szCs w:val="19"/>
              </w:rPr>
              <w:t xml:space="preserve">VERT — Léger</w:t>
            </w:r>
          </w:p>
        </w:tc>
        <w:tc>
          <w:tcPr>
            <w:tcW w:type="dxa" w:w="1400"/>
            <w:tcBorders>
              <w:top w:val="single" w:color="C3D2DE" w:sz="1"/>
              <w:left w:val="single" w:color="C3D2DE" w:sz="1"/>
              <w:bottom w:val="single" w:color="C3D2DE" w:sz="1"/>
              <w:right w:val="single" w:color="C3D2DE" w:sz="1"/>
            </w:tcBorders>
            <w:shd w:fill="1F9D57"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400"/>
            <w:tcBorders>
              <w:top w:val="single" w:color="C3D2DE" w:sz="1"/>
              <w:left w:val="single" w:color="C3D2DE" w:sz="1"/>
              <w:bottom w:val="single" w:color="C3D2DE" w:sz="1"/>
              <w:right w:val="single" w:color="C3D2DE" w:sz="1"/>
            </w:tcBorders>
            <w:shd w:fill="E4F5EA"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400"/>
            <w:tcBorders>
              <w:top w:val="single" w:color="C3D2DE" w:sz="1"/>
              <w:left w:val="single" w:color="C3D2DE" w:sz="1"/>
              <w:bottom w:val="single" w:color="C3D2DE" w:sz="1"/>
              <w:right w:val="single" w:color="C3D2DE" w:sz="1"/>
            </w:tcBorders>
            <w:shd w:fill="146C3A" w:val="clear"/>
            <w:tcMar>
              <w:top w:type="dxa" w:w="70"/>
              <w:left w:type="dxa" w:w="110"/>
              <w:bottom w:type="dxa" w:w="70"/>
              <w:right w:type="dxa" w:w="110"/>
            </w:tcMar>
            <w:vAlign w:val="center"/>
          </w:tcPr>
          <w:p>
            <w:pPr>
              <w:spacing w:after="0" w:line="252"/>
              <w:jc w:val="left"/>
            </w:pPr>
            <w:r>
              <w:rPr>
                <w:sz w:val="19"/>
                <w:szCs w:val="19"/>
              </w:rPr>
              <w:t xml:space="preserve"/>
            </w:r>
          </w:p>
        </w:tc>
        <w:tc>
          <w:tcPr>
            <w:tcW w:type="dxa" w:w="32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Triage léger, hôpital disponible, pharmacie, action sûre</w:t>
            </w:r>
          </w:p>
        </w:tc>
      </w:tr>
      <w:tr>
        <w:tc>
          <w:tcPr>
            <w:tcW w:type="dxa" w:w="19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b/>
                <w:bCs/>
                <w:sz w:val="19"/>
                <w:szCs w:val="19"/>
              </w:rPr>
              <w:t xml:space="preserve">ORANGE — Modéré</w:t>
            </w:r>
          </w:p>
        </w:tc>
        <w:tc>
          <w:tcPr>
            <w:tcW w:type="dxa" w:w="1400"/>
            <w:tcBorders>
              <w:top w:val="single" w:color="C3D2DE" w:sz="1"/>
              <w:left w:val="single" w:color="C3D2DE" w:sz="1"/>
              <w:bottom w:val="single" w:color="C3D2DE" w:sz="1"/>
              <w:right w:val="single" w:color="C3D2DE" w:sz="1"/>
            </w:tcBorders>
            <w:shd w:fill="E8911F"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400"/>
            <w:tcBorders>
              <w:top w:val="single" w:color="C3D2DE" w:sz="1"/>
              <w:left w:val="single" w:color="C3D2DE" w:sz="1"/>
              <w:bottom w:val="single" w:color="C3D2DE" w:sz="1"/>
              <w:right w:val="single" w:color="C3D2DE" w:sz="1"/>
            </w:tcBorders>
            <w:shd w:fill="FDF0DD"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400"/>
            <w:tcBorders>
              <w:top w:val="single" w:color="C3D2DE" w:sz="1"/>
              <w:left w:val="single" w:color="C3D2DE" w:sz="1"/>
              <w:bottom w:val="single" w:color="C3D2DE" w:sz="1"/>
              <w:right w:val="single" w:color="C3D2DE" w:sz="1"/>
            </w:tcBorders>
            <w:shd w:fill="9A5A07" w:val="clear"/>
            <w:tcMar>
              <w:top w:type="dxa" w:w="70"/>
              <w:left w:type="dxa" w:w="110"/>
              <w:bottom w:type="dxa" w:w="70"/>
              <w:right w:type="dxa" w:w="110"/>
            </w:tcMar>
            <w:vAlign w:val="center"/>
          </w:tcPr>
          <w:p>
            <w:pPr>
              <w:spacing w:after="0" w:line="252"/>
              <w:jc w:val="left"/>
            </w:pPr>
            <w:r>
              <w:rPr>
                <w:sz w:val="19"/>
                <w:szCs w:val="19"/>
              </w:rPr>
              <w:t xml:space="preserve"/>
            </w:r>
          </w:p>
        </w:tc>
        <w:tc>
          <w:tcPr>
            <w:tcW w:type="dxa" w:w="326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Triage modéré, disponible après 14h, avertissement</w:t>
            </w:r>
          </w:p>
        </w:tc>
      </w:tr>
      <w:tr>
        <w:tc>
          <w:tcPr>
            <w:tcW w:type="dxa" w:w="19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b/>
                <w:bCs/>
                <w:sz w:val="19"/>
                <w:szCs w:val="19"/>
              </w:rPr>
              <w:t xml:space="preserve">ROUGE — Urgent</w:t>
            </w:r>
          </w:p>
        </w:tc>
        <w:tc>
          <w:tcPr>
            <w:tcW w:type="dxa" w:w="1400"/>
            <w:tcBorders>
              <w:top w:val="single" w:color="C3D2DE" w:sz="1"/>
              <w:left w:val="single" w:color="C3D2DE" w:sz="1"/>
              <w:bottom w:val="single" w:color="C3D2DE" w:sz="1"/>
              <w:right w:val="single" w:color="C3D2DE" w:sz="1"/>
            </w:tcBorders>
            <w:shd w:fill="DC2626"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400"/>
            <w:tcBorders>
              <w:top w:val="single" w:color="C3D2DE" w:sz="1"/>
              <w:left w:val="single" w:color="C3D2DE" w:sz="1"/>
              <w:bottom w:val="single" w:color="C3D2DE" w:sz="1"/>
              <w:right w:val="single" w:color="C3D2DE" w:sz="1"/>
            </w:tcBorders>
            <w:shd w:fill="FCE8E8"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400"/>
            <w:tcBorders>
              <w:top w:val="single" w:color="C3D2DE" w:sz="1"/>
              <w:left w:val="single" w:color="C3D2DE" w:sz="1"/>
              <w:bottom w:val="single" w:color="C3D2DE" w:sz="1"/>
              <w:right w:val="single" w:color="C3D2DE" w:sz="1"/>
            </w:tcBorders>
            <w:shd w:fill="A11616" w:val="clear"/>
            <w:tcMar>
              <w:top w:type="dxa" w:w="70"/>
              <w:left w:type="dxa" w:w="110"/>
              <w:bottom w:type="dxa" w:w="70"/>
              <w:right w:type="dxa" w:w="110"/>
            </w:tcMar>
            <w:vAlign w:val="center"/>
          </w:tcPr>
          <w:p>
            <w:pPr>
              <w:spacing w:after="0" w:line="252"/>
              <w:jc w:val="left"/>
            </w:pPr>
            <w:r>
              <w:rPr>
                <w:sz w:val="19"/>
                <w:szCs w:val="19"/>
              </w:rPr>
              <w:t xml:space="preserve"/>
            </w:r>
          </w:p>
        </w:tc>
        <w:tc>
          <w:tcPr>
            <w:tcW w:type="dxa" w:w="32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Triage urgent, bouton SOS, complet, danger</w:t>
            </w:r>
          </w:p>
        </w:tc>
      </w:tr>
    </w:tbl>
    <w:p>
      <w:pPr>
        <w:spacing w:after="120"/>
      </w:pPr>
    </w:p>
    <w:p>
      <w:pPr>
        <w:pStyle w:val="Heading2"/>
      </w:pPr>
      <w:r>
        <w:t xml:space="preserve">2.4 Neutres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5060"/>
      </w:tblGrid>
      <w:tr>
        <w:trPr>
          <w:tblHeader/>
        </w:trPr>
        <w:tc>
          <w:tcPr>
            <w:tcW w:type="dxa" w:w="9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
            </w:r>
          </w:p>
        </w:tc>
        <w:tc>
          <w:tcPr>
            <w:tcW w:type="dxa" w:w="17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Token</w:t>
            </w:r>
          </w:p>
        </w:tc>
        <w:tc>
          <w:tcPr>
            <w:tcW w:type="dxa" w:w="17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Hex</w:t>
            </w:r>
          </w:p>
        </w:tc>
        <w:tc>
          <w:tcPr>
            <w:tcW w:type="dxa" w:w="506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Usage</w:t>
            </w:r>
          </w:p>
        </w:tc>
      </w:tr>
      <w:tr>
        <w:tc>
          <w:tcPr>
            <w:tcW w:type="dxa" w:w="900"/>
            <w:tcBorders>
              <w:top w:val="single" w:color="C3D2DE" w:sz="1"/>
              <w:left w:val="single" w:color="C3D2DE" w:sz="1"/>
              <w:bottom w:val="single" w:color="C3D2DE" w:sz="1"/>
              <w:right w:val="single" w:color="C3D2DE" w:sz="1"/>
            </w:tcBorders>
            <w:shd w:fill="11212E"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ink-900</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#11212E</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Texte principal</w:t>
            </w:r>
          </w:p>
        </w:tc>
      </w:tr>
      <w:tr>
        <w:tc>
          <w:tcPr>
            <w:tcW w:type="dxa" w:w="900"/>
            <w:tcBorders>
              <w:top w:val="single" w:color="C3D2DE" w:sz="1"/>
              <w:left w:val="single" w:color="C3D2DE" w:sz="1"/>
              <w:bottom w:val="single" w:color="C3D2DE" w:sz="1"/>
              <w:right w:val="single" w:color="C3D2DE" w:sz="1"/>
            </w:tcBorders>
            <w:shd w:fill="33475A"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ink-700</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#33475A</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Texte secondaire</w:t>
            </w:r>
          </w:p>
        </w:tc>
      </w:tr>
      <w:tr>
        <w:tc>
          <w:tcPr>
            <w:tcW w:type="dxa" w:w="900"/>
            <w:tcBorders>
              <w:top w:val="single" w:color="C3D2DE" w:sz="1"/>
              <w:left w:val="single" w:color="C3D2DE" w:sz="1"/>
              <w:bottom w:val="single" w:color="C3D2DE" w:sz="1"/>
              <w:right w:val="single" w:color="C3D2DE" w:sz="1"/>
            </w:tcBorders>
            <w:shd w:fill="62768A"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ink-500</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#62768A</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Légendes, texte tertiaire</w:t>
            </w:r>
          </w:p>
        </w:tc>
      </w:tr>
      <w:tr>
        <w:tc>
          <w:tcPr>
            <w:tcW w:type="dxa" w:w="900"/>
            <w:tcBorders>
              <w:top w:val="single" w:color="C3D2DE" w:sz="1"/>
              <w:left w:val="single" w:color="C3D2DE" w:sz="1"/>
              <w:bottom w:val="single" w:color="C3D2DE" w:sz="1"/>
              <w:right w:val="single" w:color="C3D2DE" w:sz="1"/>
            </w:tcBorders>
            <w:shd w:fill="AEBDCB"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disabled</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#AEBDCB</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Éléments désactivés</w:t>
            </w:r>
          </w:p>
        </w:tc>
      </w:tr>
      <w:tr>
        <w:tc>
          <w:tcPr>
            <w:tcW w:type="dxa" w:w="900"/>
            <w:tcBorders>
              <w:top w:val="single" w:color="C3D2DE" w:sz="1"/>
              <w:left w:val="single" w:color="C3D2DE" w:sz="1"/>
              <w:bottom w:val="single" w:color="C3D2DE" w:sz="1"/>
              <w:right w:val="single" w:color="C3D2DE" w:sz="1"/>
            </w:tcBorders>
            <w:shd w:fill="D9E2EA"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line</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#D9E2EA</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Séparateurs, bordures</w:t>
            </w:r>
          </w:p>
        </w:tc>
      </w:tr>
      <w:tr>
        <w:tc>
          <w:tcPr>
            <w:tcW w:type="dxa" w:w="900"/>
            <w:tcBorders>
              <w:top w:val="single" w:color="C3D2DE" w:sz="1"/>
              <w:left w:val="single" w:color="C3D2DE" w:sz="1"/>
              <w:bottom w:val="single" w:color="C3D2DE" w:sz="1"/>
              <w:right w:val="single" w:color="C3D2DE" w:sz="1"/>
            </w:tcBorders>
            <w:shd w:fill="F3F7FB"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surface-muted</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#F3F7FB</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Fond de section, champ</w:t>
            </w:r>
          </w:p>
        </w:tc>
      </w:tr>
      <w:tr>
        <w:tc>
          <w:tcPr>
            <w:tcW w:type="dxa" w:w="900"/>
            <w:tcBorders>
              <w:top w:val="single" w:color="C3D2DE" w:sz="1"/>
              <w:left w:val="single" w:color="C3D2DE" w:sz="1"/>
              <w:bottom w:val="single" w:color="C3D2DE" w:sz="1"/>
              <w:right w:val="single" w:color="C3D2DE" w:sz="1"/>
            </w:tcBorders>
            <w:shd w:fill="FFFFFF" w:val="clear"/>
            <w:tcMar>
              <w:top w:type="dxa" w:w="70"/>
              <w:left w:type="dxa" w:w="110"/>
              <w:bottom w:type="dxa" w:w="70"/>
              <w:right w:type="dxa" w:w="110"/>
            </w:tcMar>
            <w:vAlign w:val="center"/>
          </w:tcPr>
          <w:p>
            <w:pPr>
              <w:spacing w:after="0" w:line="252"/>
              <w:jc w:val="left"/>
            </w:pPr>
            <w:r>
              <w:rPr>
                <w:sz w:val="19"/>
                <w:szCs w:val="19"/>
              </w:rPr>
              <w:t xml:space="preserve"/>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surface</w:t>
            </w:r>
          </w:p>
        </w:tc>
        <w:tc>
          <w:tcPr>
            <w:tcW w:type="dxa" w:w="1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rFonts w:ascii="Consolas" w:cs="Consolas" w:eastAsia="Consolas" w:hAnsi="Consolas"/>
                <w:sz w:val="18"/>
                <w:szCs w:val="18"/>
              </w:rPr>
              <w:t xml:space="preserve">#FFFFFF</w:t>
            </w:r>
          </w:p>
        </w:tc>
        <w:tc>
          <w:tcPr>
            <w:tcW w:type="dxa" w:w="50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Cartes, surfaces de contenu</w:t>
            </w:r>
          </w:p>
        </w:tc>
      </w:tr>
    </w:tbl>
    <w:p>
      <w:pPr>
        <w:spacing w:after="120"/>
      </w:pPr>
    </w:p>
    <w:p>
      <w:pPr>
        <w:pStyle w:val="Heading2"/>
      </w:pPr>
      <w:r>
        <w:t xml:space="preserve">2.5 Vérification des contrastes (WCAG 2.1 AA)</w:t>
      </w:r>
    </w:p>
    <w:p>
      <w:pPr>
        <w:spacing w:after="120" w:line="276"/>
        <w:jc w:val="both"/>
      </w:pPr>
      <w:r>
        <w:t xml:space="preserve">Chaque association texte / fond utilisée a été vérifiée par calcul. Le seuil AA est de 4,5:1 pour le texte courant et 3:1 pour le grand texte et les éléments d'interface.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1200"/>
        <w:gridCol w:w="1760"/>
      </w:tblGrid>
      <w:tr>
        <w:trPr>
          <w:tblHeader/>
        </w:trPr>
        <w:tc>
          <w:tcPr>
            <w:tcW w:type="dxa" w:w="34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Texte</w:t>
            </w:r>
          </w:p>
        </w:tc>
        <w:tc>
          <w:tcPr>
            <w:tcW w:type="dxa" w:w="30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Fond</w:t>
            </w:r>
          </w:p>
        </w:tc>
        <w:tc>
          <w:tcPr>
            <w:tcW w:type="dxa" w:w="12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Ratio</w:t>
            </w:r>
          </w:p>
        </w:tc>
        <w:tc>
          <w:tcPr>
            <w:tcW w:type="dxa" w:w="176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Verdict</w:t>
            </w:r>
          </w:p>
        </w:tc>
      </w:tr>
      <w:tr>
        <w:tc>
          <w:tcPr>
            <w:tcW w:type="dxa" w:w="34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ink-900 #11212E</w:t>
            </w:r>
          </w:p>
        </w:tc>
        <w:tc>
          <w:tcPr>
            <w:tcW w:type="dxa" w:w="30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surface #FFFFFF</w:t>
            </w:r>
          </w:p>
        </w:tc>
        <w:tc>
          <w:tcPr>
            <w:tcW w:type="dxa" w:w="12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16.40:1</w:t>
            </w:r>
          </w:p>
        </w:tc>
        <w:tc>
          <w:tcPr>
            <w:tcW w:type="dxa" w:w="17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b/>
                <w:bCs/>
                <w:sz w:val="19"/>
                <w:szCs w:val="19"/>
              </w:rPr>
              <w:t xml:space="preserve">Conforme AA</w:t>
            </w:r>
          </w:p>
        </w:tc>
      </w:tr>
      <w:tr>
        <w:tc>
          <w:tcPr>
            <w:tcW w:type="dxa" w:w="34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ink-700 #33475A</w:t>
            </w:r>
          </w:p>
        </w:tc>
        <w:tc>
          <w:tcPr>
            <w:tcW w:type="dxa" w:w="30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surface #FFFFFF</w:t>
            </w:r>
          </w:p>
        </w:tc>
        <w:tc>
          <w:tcPr>
            <w:tcW w:type="dxa" w:w="12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9.59:1</w:t>
            </w:r>
          </w:p>
        </w:tc>
        <w:tc>
          <w:tcPr>
            <w:tcW w:type="dxa" w:w="176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b/>
                <w:bCs/>
                <w:sz w:val="19"/>
                <w:szCs w:val="19"/>
              </w:rPr>
              <w:t xml:space="preserve">Conforme AA</w:t>
            </w:r>
          </w:p>
        </w:tc>
      </w:tr>
      <w:tr>
        <w:tc>
          <w:tcPr>
            <w:tcW w:type="dxa" w:w="34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ink-500 #62768A</w:t>
            </w:r>
          </w:p>
        </w:tc>
        <w:tc>
          <w:tcPr>
            <w:tcW w:type="dxa" w:w="30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surface #FFFFFF</w:t>
            </w:r>
          </w:p>
        </w:tc>
        <w:tc>
          <w:tcPr>
            <w:tcW w:type="dxa" w:w="12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4.69:1</w:t>
            </w:r>
          </w:p>
        </w:tc>
        <w:tc>
          <w:tcPr>
            <w:tcW w:type="dxa" w:w="17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b/>
                <w:bCs/>
                <w:sz w:val="19"/>
                <w:szCs w:val="19"/>
              </w:rPr>
              <w:t xml:space="preserve">Conforme AA</w:t>
            </w:r>
          </w:p>
        </w:tc>
      </w:tr>
      <w:tr>
        <w:tc>
          <w:tcPr>
            <w:tcW w:type="dxa" w:w="34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blanc #FFFFFF</w:t>
            </w:r>
          </w:p>
        </w:tc>
        <w:tc>
          <w:tcPr>
            <w:tcW w:type="dxa" w:w="30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primaire #1E6BB8</w:t>
            </w:r>
          </w:p>
        </w:tc>
        <w:tc>
          <w:tcPr>
            <w:tcW w:type="dxa" w:w="12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5.45:1</w:t>
            </w:r>
          </w:p>
        </w:tc>
        <w:tc>
          <w:tcPr>
            <w:tcW w:type="dxa" w:w="176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b/>
                <w:bCs/>
                <w:sz w:val="19"/>
                <w:szCs w:val="19"/>
              </w:rPr>
              <w:t xml:space="preserve">Conforme AA</w:t>
            </w:r>
          </w:p>
        </w:tc>
      </w:tr>
      <w:tr>
        <w:tc>
          <w:tcPr>
            <w:tcW w:type="dxa" w:w="34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blanc #FFFFFF</w:t>
            </w:r>
          </w:p>
        </w:tc>
        <w:tc>
          <w:tcPr>
            <w:tcW w:type="dxa" w:w="30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SOS #DC2626</w:t>
            </w:r>
          </w:p>
        </w:tc>
        <w:tc>
          <w:tcPr>
            <w:tcW w:type="dxa" w:w="12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4.83:1</w:t>
            </w:r>
          </w:p>
        </w:tc>
        <w:tc>
          <w:tcPr>
            <w:tcW w:type="dxa" w:w="17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b/>
                <w:bCs/>
                <w:sz w:val="19"/>
                <w:szCs w:val="19"/>
              </w:rPr>
              <w:t xml:space="preserve">Conforme AA</w:t>
            </w:r>
          </w:p>
        </w:tc>
      </w:tr>
      <w:tr>
        <w:tc>
          <w:tcPr>
            <w:tcW w:type="dxa" w:w="34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blue-900 #0C3463</w:t>
            </w:r>
          </w:p>
        </w:tc>
        <w:tc>
          <w:tcPr>
            <w:tcW w:type="dxa" w:w="30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haut dégradé #F2F8FD</w:t>
            </w:r>
          </w:p>
        </w:tc>
        <w:tc>
          <w:tcPr>
            <w:tcW w:type="dxa" w:w="12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11.63:1</w:t>
            </w:r>
          </w:p>
        </w:tc>
        <w:tc>
          <w:tcPr>
            <w:tcW w:type="dxa" w:w="176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b/>
                <w:bCs/>
                <w:sz w:val="19"/>
                <w:szCs w:val="19"/>
              </w:rPr>
              <w:t xml:space="preserve">Conforme AA</w:t>
            </w:r>
          </w:p>
        </w:tc>
      </w:tr>
      <w:tr>
        <w:tc>
          <w:tcPr>
            <w:tcW w:type="dxa" w:w="34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blanc #FFFFFF</w:t>
            </w:r>
          </w:p>
        </w:tc>
        <w:tc>
          <w:tcPr>
            <w:tcW w:type="dxa" w:w="30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bas dégradé #1E5BAA</w:t>
            </w:r>
          </w:p>
        </w:tc>
        <w:tc>
          <w:tcPr>
            <w:tcW w:type="dxa" w:w="12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6.70:1</w:t>
            </w:r>
          </w:p>
        </w:tc>
        <w:tc>
          <w:tcPr>
            <w:tcW w:type="dxa" w:w="17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b/>
                <w:bCs/>
                <w:sz w:val="19"/>
                <w:szCs w:val="19"/>
              </w:rPr>
              <w:t xml:space="preserve">Conforme AA</w:t>
            </w:r>
          </w:p>
        </w:tc>
      </w:tr>
      <w:tr>
        <w:tc>
          <w:tcPr>
            <w:tcW w:type="dxa" w:w="34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vert #146C3A</w:t>
            </w:r>
          </w:p>
        </w:tc>
        <w:tc>
          <w:tcPr>
            <w:tcW w:type="dxa" w:w="30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badge #E4F5EA</w:t>
            </w:r>
          </w:p>
        </w:tc>
        <w:tc>
          <w:tcPr>
            <w:tcW w:type="dxa" w:w="12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5.73:1</w:t>
            </w:r>
          </w:p>
        </w:tc>
        <w:tc>
          <w:tcPr>
            <w:tcW w:type="dxa" w:w="176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b/>
                <w:bCs/>
                <w:sz w:val="19"/>
                <w:szCs w:val="19"/>
              </w:rPr>
              <w:t xml:space="preserve">Conforme AA</w:t>
            </w:r>
          </w:p>
        </w:tc>
      </w:tr>
      <w:tr>
        <w:tc>
          <w:tcPr>
            <w:tcW w:type="dxa" w:w="34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orange #9A5A07</w:t>
            </w:r>
          </w:p>
        </w:tc>
        <w:tc>
          <w:tcPr>
            <w:tcW w:type="dxa" w:w="30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badge #FDF0DD</w:t>
            </w:r>
          </w:p>
        </w:tc>
        <w:tc>
          <w:tcPr>
            <w:tcW w:type="dxa" w:w="12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4.87:1</w:t>
            </w:r>
          </w:p>
        </w:tc>
        <w:tc>
          <w:tcPr>
            <w:tcW w:type="dxa" w:w="17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b/>
                <w:bCs/>
                <w:sz w:val="19"/>
                <w:szCs w:val="19"/>
              </w:rPr>
              <w:t xml:space="preserve">Conforme AA</w:t>
            </w:r>
          </w:p>
        </w:tc>
      </w:tr>
      <w:tr>
        <w:tc>
          <w:tcPr>
            <w:tcW w:type="dxa" w:w="34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rouge #A11616</w:t>
            </w:r>
          </w:p>
        </w:tc>
        <w:tc>
          <w:tcPr>
            <w:tcW w:type="dxa" w:w="30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badge #FCE8E8</w:t>
            </w:r>
          </w:p>
        </w:tc>
        <w:tc>
          <w:tcPr>
            <w:tcW w:type="dxa" w:w="12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6.76:1</w:t>
            </w:r>
          </w:p>
        </w:tc>
        <w:tc>
          <w:tcPr>
            <w:tcW w:type="dxa" w:w="176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b/>
                <w:bCs/>
                <w:sz w:val="19"/>
                <w:szCs w:val="19"/>
              </w:rPr>
              <w:t xml:space="preserve">Conforme AA</w:t>
            </w:r>
          </w:p>
        </w:tc>
      </w:tr>
    </w:tbl>
    <w:p>
      <w:pPr>
        <w:spacing w:after="120"/>
      </w:pPr>
    </w:p>
    <w:p>
      <w:pPr>
        <w:spacing w:after="120" w:line="276"/>
        <w:jc w:val="both"/>
      </w:pPr>
      <w:r>
        <w:rPr>
          <w:b/>
          <w:bCs/>
        </w:rPr>
        <w:t xml:space="preserve">Règle d'or : </w:t>
      </w:r>
      <w:r>
        <w:t xml:space="preserve">on ne pose jamais de texte courant directement sur la partie médiane/sombre du dégradé. Le texte vit sur des cartes claires (contraste élevé) ; seul le grand titre en haut (zone très claire) est posé sur le fond.</w:t>
      </w:r>
    </w:p>
    <w:p>
      <w:r>
        <w:br w:type="page"/>
      </w:r>
    </w:p>
    <w:p>
      <w:pPr>
        <w:pStyle w:val="Heading1"/>
      </w:pPr>
      <w:r>
        <w:t xml:space="preserve">3. Typographie</w:t>
      </w:r>
    </w:p>
    <w:p>
      <w:pPr>
        <w:spacing w:after="120" w:line="276"/>
        <w:jc w:val="both"/>
      </w:pPr>
      <w:r>
        <w:t xml:space="preserve">Police </w:t>
      </w:r>
      <w:r>
        <w:rPr>
          <w:b/>
          <w:bCs/>
        </w:rPr>
        <w:t xml:space="preserve">système par défaut</w:t>
      </w:r>
      <w:r>
        <w:t xml:space="preserve"> (San Francisco sur iOS, Roboto sur Android) : zéro téléchargement, rendu natif optimal sur téléphone d'entrée de gamme — un choix de performance. Une police de marque optionnelle (</w:t>
      </w:r>
      <w:r>
        <w:rPr>
          <w:b/>
          <w:bCs/>
        </w:rPr>
        <w:t xml:space="preserve">Inter</w:t>
      </w:r>
      <w:r>
        <w:t xml:space="preserve">, libre et très lisible) peut être chargée plus tard sans changer l'échelle.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600"/>
        <w:gridCol w:w="1500"/>
        <w:gridCol w:w="2360"/>
      </w:tblGrid>
      <w:tr>
        <w:trPr>
          <w:tblHeader/>
        </w:trPr>
        <w:tc>
          <w:tcPr>
            <w:tcW w:type="dxa" w:w="26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Rôle</w:t>
            </w:r>
          </w:p>
        </w:tc>
        <w:tc>
          <w:tcPr>
            <w:tcW w:type="dxa" w:w="13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Taille (sp)</w:t>
            </w:r>
          </w:p>
        </w:tc>
        <w:tc>
          <w:tcPr>
            <w:tcW w:type="dxa" w:w="16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Graisse</w:t>
            </w:r>
          </w:p>
        </w:tc>
        <w:tc>
          <w:tcPr>
            <w:tcW w:type="dxa" w:w="15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Interligne</w:t>
            </w:r>
          </w:p>
        </w:tc>
        <w:tc>
          <w:tcPr>
            <w:tcW w:type="dxa" w:w="236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Usage</w:t>
            </w:r>
          </w:p>
        </w:tc>
      </w:tr>
      <w:tr>
        <w:tc>
          <w:tcPr>
            <w:tcW w:type="dxa" w:w="26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Display / Score</w:t>
            </w:r>
          </w:p>
        </w:tc>
        <w:tc>
          <w:tcPr>
            <w:tcW w:type="dxa" w:w="13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48</w:t>
            </w:r>
          </w:p>
        </w:tc>
        <w:tc>
          <w:tcPr>
            <w:tcW w:type="dxa" w:w="16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800 (extra-bold)</w:t>
            </w:r>
          </w:p>
        </w:tc>
        <w:tc>
          <w:tcPr>
            <w:tcW w:type="dxa" w:w="15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56</w:t>
            </w:r>
          </w:p>
        </w:tc>
        <w:tc>
          <w:tcPr>
            <w:tcW w:type="dxa" w:w="23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Score de triage 0-100</w:t>
            </w:r>
          </w:p>
        </w:tc>
      </w:tr>
      <w:tr>
        <w:tc>
          <w:tcPr>
            <w:tcW w:type="dxa" w:w="26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Titre H1</w:t>
            </w:r>
          </w:p>
        </w:tc>
        <w:tc>
          <w:tcPr>
            <w:tcW w:type="dxa" w:w="13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24</w:t>
            </w:r>
          </w:p>
        </w:tc>
        <w:tc>
          <w:tcPr>
            <w:tcW w:type="dxa" w:w="16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800</w:t>
            </w:r>
          </w:p>
        </w:tc>
        <w:tc>
          <w:tcPr>
            <w:tcW w:type="dxa" w:w="15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30</w:t>
            </w:r>
          </w:p>
        </w:tc>
        <w:tc>
          <w:tcPr>
            <w:tcW w:type="dxa" w:w="236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Titre d'écran</w:t>
            </w:r>
          </w:p>
        </w:tc>
      </w:tr>
      <w:tr>
        <w:tc>
          <w:tcPr>
            <w:tcW w:type="dxa" w:w="26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Titre H2</w:t>
            </w:r>
          </w:p>
        </w:tc>
        <w:tc>
          <w:tcPr>
            <w:tcW w:type="dxa" w:w="13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20</w:t>
            </w:r>
          </w:p>
        </w:tc>
        <w:tc>
          <w:tcPr>
            <w:tcW w:type="dxa" w:w="16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700 (bold)</w:t>
            </w:r>
          </w:p>
        </w:tc>
        <w:tc>
          <w:tcPr>
            <w:tcW w:type="dxa" w:w="15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26</w:t>
            </w:r>
          </w:p>
        </w:tc>
        <w:tc>
          <w:tcPr>
            <w:tcW w:type="dxa" w:w="23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Titre de section</w:t>
            </w:r>
          </w:p>
        </w:tc>
      </w:tr>
      <w:tr>
        <w:tc>
          <w:tcPr>
            <w:tcW w:type="dxa" w:w="26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Corps</w:t>
            </w:r>
          </w:p>
        </w:tc>
        <w:tc>
          <w:tcPr>
            <w:tcW w:type="dxa" w:w="13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16</w:t>
            </w:r>
          </w:p>
        </w:tc>
        <w:tc>
          <w:tcPr>
            <w:tcW w:type="dxa" w:w="16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400 (regular)</w:t>
            </w:r>
          </w:p>
        </w:tc>
        <w:tc>
          <w:tcPr>
            <w:tcW w:type="dxa" w:w="15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24</w:t>
            </w:r>
          </w:p>
        </w:tc>
        <w:tc>
          <w:tcPr>
            <w:tcW w:type="dxa" w:w="236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Texte courant</w:t>
            </w:r>
          </w:p>
        </w:tc>
      </w:tr>
      <w:tr>
        <w:tc>
          <w:tcPr>
            <w:tcW w:type="dxa" w:w="26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Corps fort</w:t>
            </w:r>
          </w:p>
        </w:tc>
        <w:tc>
          <w:tcPr>
            <w:tcW w:type="dxa" w:w="13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16</w:t>
            </w:r>
          </w:p>
        </w:tc>
        <w:tc>
          <w:tcPr>
            <w:tcW w:type="dxa" w:w="16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600 (semibold)</w:t>
            </w:r>
          </w:p>
        </w:tc>
        <w:tc>
          <w:tcPr>
            <w:tcW w:type="dxa" w:w="15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24</w:t>
            </w:r>
          </w:p>
        </w:tc>
        <w:tc>
          <w:tcPr>
            <w:tcW w:type="dxa" w:w="23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Libellés, mise en avant</w:t>
            </w:r>
          </w:p>
        </w:tc>
      </w:tr>
      <w:tr>
        <w:tc>
          <w:tcPr>
            <w:tcW w:type="dxa" w:w="26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Bouton</w:t>
            </w:r>
          </w:p>
        </w:tc>
        <w:tc>
          <w:tcPr>
            <w:tcW w:type="dxa" w:w="13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16</w:t>
            </w:r>
          </w:p>
        </w:tc>
        <w:tc>
          <w:tcPr>
            <w:tcW w:type="dxa" w:w="16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700</w:t>
            </w:r>
          </w:p>
        </w:tc>
        <w:tc>
          <w:tcPr>
            <w:tcW w:type="dxa" w:w="15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w:t>
            </w:r>
          </w:p>
        </w:tc>
        <w:tc>
          <w:tcPr>
            <w:tcW w:type="dxa" w:w="236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Texte des boutons</w:t>
            </w:r>
          </w:p>
        </w:tc>
      </w:tr>
      <w:tr>
        <w:tc>
          <w:tcPr>
            <w:tcW w:type="dxa" w:w="26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Légende</w:t>
            </w:r>
          </w:p>
        </w:tc>
        <w:tc>
          <w:tcPr>
            <w:tcW w:type="dxa" w:w="13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13</w:t>
            </w:r>
          </w:p>
        </w:tc>
        <w:tc>
          <w:tcPr>
            <w:tcW w:type="dxa" w:w="16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400</w:t>
            </w:r>
          </w:p>
        </w:tc>
        <w:tc>
          <w:tcPr>
            <w:tcW w:type="dxa" w:w="15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18</w:t>
            </w:r>
          </w:p>
        </w:tc>
        <w:tc>
          <w:tcPr>
            <w:tcW w:type="dxa" w:w="23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Annotations, aides</w:t>
            </w:r>
          </w:p>
        </w:tc>
      </w:tr>
    </w:tbl>
    <w:p>
      <w:pPr>
        <w:spacing w:after="120"/>
      </w:pPr>
    </w:p>
    <w:p>
      <w:pPr>
        <w:spacing w:after="120" w:line="276"/>
        <w:jc w:val="both"/>
      </w:pPr>
      <w:r>
        <w:rPr>
          <w:b/>
          <w:bCs/>
        </w:rPr>
        <w:t xml:space="preserve">Règles : </w:t>
      </w:r>
      <w:r>
        <w:t xml:space="preserve">jamais en dessous de 13 sp ; une seule famille de police ; le poids (graisse) et la couleur portent la hiérarchie, pas une multiplication de tailles.</w:t>
      </w:r>
    </w:p>
    <w:p>
      <w:r>
        <w:br w:type="page"/>
      </w:r>
    </w:p>
    <w:p>
      <w:pPr>
        <w:pStyle w:val="Heading1"/>
      </w:pPr>
      <w:r>
        <w:t xml:space="preserve">4. Fondations</w:t>
      </w:r>
    </w:p>
    <w:p>
      <w:pPr>
        <w:pStyle w:val="Heading2"/>
      </w:pPr>
      <w:r>
        <w:t xml:space="preserve">4.1 Espacement (base 4)</w:t>
      </w:r>
    </w:p>
    <w:p>
      <w:pPr>
        <w:spacing w:after="120" w:line="276"/>
        <w:jc w:val="both"/>
      </w:pPr>
      <w:r>
        <w:t xml:space="preserve">Une grille d'espacement par multiples de 4 garantit un rythme régulier. On n'utilise que ces valeurs.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Token</w:t>
            </w:r>
          </w:p>
        </w:tc>
        <w:tc>
          <w:tcPr>
            <w:tcW w:type="dxa" w:w="14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Valeur (dp)</w:t>
            </w:r>
          </w:p>
        </w:tc>
        <w:tc>
          <w:tcPr>
            <w:tcW w:type="dxa" w:w="596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Usage</w:t>
            </w:r>
          </w:p>
        </w:tc>
      </w:tr>
      <w:tr>
        <w:tc>
          <w:tcPr>
            <w:tcW w:type="dxa" w:w="20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space-1</w:t>
            </w:r>
          </w:p>
        </w:tc>
        <w:tc>
          <w:tcPr>
            <w:tcW w:type="dxa" w:w="14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4</w:t>
            </w:r>
          </w:p>
        </w:tc>
        <w:tc>
          <w:tcPr>
            <w:tcW w:type="dxa" w:w="59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Micro-écarts (icône ↔ texte)</w:t>
            </w:r>
          </w:p>
        </w:tc>
      </w:tr>
      <w:tr>
        <w:tc>
          <w:tcPr>
            <w:tcW w:type="dxa" w:w="20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space-2</w:t>
            </w:r>
          </w:p>
        </w:tc>
        <w:tc>
          <w:tcPr>
            <w:tcW w:type="dxa" w:w="14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8</w:t>
            </w:r>
          </w:p>
        </w:tc>
        <w:tc>
          <w:tcPr>
            <w:tcW w:type="dxa" w:w="596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Espacement interne serré</w:t>
            </w:r>
          </w:p>
        </w:tc>
      </w:tr>
      <w:tr>
        <w:tc>
          <w:tcPr>
            <w:tcW w:type="dxa" w:w="20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space-3</w:t>
            </w:r>
          </w:p>
        </w:tc>
        <w:tc>
          <w:tcPr>
            <w:tcW w:type="dxa" w:w="14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12</w:t>
            </w:r>
          </w:p>
        </w:tc>
        <w:tc>
          <w:tcPr>
            <w:tcW w:type="dxa" w:w="59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Entre éléments liés</w:t>
            </w:r>
          </w:p>
        </w:tc>
      </w:tr>
      <w:tr>
        <w:tc>
          <w:tcPr>
            <w:tcW w:type="dxa" w:w="20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space-4</w:t>
            </w:r>
          </w:p>
        </w:tc>
        <w:tc>
          <w:tcPr>
            <w:tcW w:type="dxa" w:w="14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16</w:t>
            </w:r>
          </w:p>
        </w:tc>
        <w:tc>
          <w:tcPr>
            <w:tcW w:type="dxa" w:w="596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Marge intérieure standard des cartes</w:t>
            </w:r>
          </w:p>
        </w:tc>
      </w:tr>
      <w:tr>
        <w:tc>
          <w:tcPr>
            <w:tcW w:type="dxa" w:w="20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space-5</w:t>
            </w:r>
          </w:p>
        </w:tc>
        <w:tc>
          <w:tcPr>
            <w:tcW w:type="dxa" w:w="14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20</w:t>
            </w:r>
          </w:p>
        </w:tc>
        <w:tc>
          <w:tcPr>
            <w:tcW w:type="dxa" w:w="59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Entre blocs</w:t>
            </w:r>
          </w:p>
        </w:tc>
      </w:tr>
      <w:tr>
        <w:tc>
          <w:tcPr>
            <w:tcW w:type="dxa" w:w="20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space-6</w:t>
            </w:r>
          </w:p>
        </w:tc>
        <w:tc>
          <w:tcPr>
            <w:tcW w:type="dxa" w:w="14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24</w:t>
            </w:r>
          </w:p>
        </w:tc>
        <w:tc>
          <w:tcPr>
            <w:tcW w:type="dxa" w:w="596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Marges d'écran (gauche/droite)</w:t>
            </w:r>
          </w:p>
        </w:tc>
      </w:tr>
      <w:tr>
        <w:tc>
          <w:tcPr>
            <w:tcW w:type="dxa" w:w="20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space-8</w:t>
            </w:r>
          </w:p>
        </w:tc>
        <w:tc>
          <w:tcPr>
            <w:tcW w:type="dxa" w:w="14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32</w:t>
            </w:r>
          </w:p>
        </w:tc>
        <w:tc>
          <w:tcPr>
            <w:tcW w:type="dxa" w:w="59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Entre sections</w:t>
            </w:r>
          </w:p>
        </w:tc>
      </w:tr>
      <w:tr>
        <w:tc>
          <w:tcPr>
            <w:tcW w:type="dxa" w:w="20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space-10</w:t>
            </w:r>
          </w:p>
        </w:tc>
        <w:tc>
          <w:tcPr>
            <w:tcW w:type="dxa" w:w="14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40</w:t>
            </w:r>
          </w:p>
        </w:tc>
        <w:tc>
          <w:tcPr>
            <w:tcW w:type="dxa" w:w="596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Grands espaces respiratoires</w:t>
            </w:r>
          </w:p>
        </w:tc>
      </w:tr>
    </w:tbl>
    <w:p>
      <w:pPr>
        <w:spacing w:after="120"/>
      </w:pPr>
    </w:p>
    <w:p>
      <w:pPr>
        <w:pStyle w:val="Heading2"/>
      </w:pPr>
      <w:r>
        <w:t xml:space="preserve">4.2 Arrondis</w:t>
      </w:r>
    </w:p>
    <w:p>
      <w:pPr>
        <w:spacing w:after="120" w:line="276"/>
        <w:jc w:val="both"/>
      </w:pPr>
      <w:r>
        <w:t xml:space="preserve">Des coins très arrondis donnent le ton calme et accueillant de la palette de référence (cartes empilées).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Token</w:t>
            </w:r>
          </w:p>
        </w:tc>
        <w:tc>
          <w:tcPr>
            <w:tcW w:type="dxa" w:w="14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Rayon (dp)</w:t>
            </w:r>
          </w:p>
        </w:tc>
        <w:tc>
          <w:tcPr>
            <w:tcW w:type="dxa" w:w="596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Usage</w:t>
            </w:r>
          </w:p>
        </w:tc>
      </w:tr>
      <w:tr>
        <w:tc>
          <w:tcPr>
            <w:tcW w:type="dxa" w:w="20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radius-sm</w:t>
            </w:r>
          </w:p>
        </w:tc>
        <w:tc>
          <w:tcPr>
            <w:tcW w:type="dxa" w:w="14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8</w:t>
            </w:r>
          </w:p>
        </w:tc>
        <w:tc>
          <w:tcPr>
            <w:tcW w:type="dxa" w:w="59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Champs, petits éléments</w:t>
            </w:r>
          </w:p>
        </w:tc>
      </w:tr>
      <w:tr>
        <w:tc>
          <w:tcPr>
            <w:tcW w:type="dxa" w:w="20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radius-md</w:t>
            </w:r>
          </w:p>
        </w:tc>
        <w:tc>
          <w:tcPr>
            <w:tcW w:type="dxa" w:w="14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12</w:t>
            </w:r>
          </w:p>
        </w:tc>
        <w:tc>
          <w:tcPr>
            <w:tcW w:type="dxa" w:w="596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Badges, puces</w:t>
            </w:r>
          </w:p>
        </w:tc>
      </w:tr>
      <w:tr>
        <w:tc>
          <w:tcPr>
            <w:tcW w:type="dxa" w:w="20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radius-lg</w:t>
            </w:r>
          </w:p>
        </w:tc>
        <w:tc>
          <w:tcPr>
            <w:tcW w:type="dxa" w:w="14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16</w:t>
            </w:r>
          </w:p>
        </w:tc>
        <w:tc>
          <w:tcPr>
            <w:tcW w:type="dxa" w:w="59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Boutons</w:t>
            </w:r>
          </w:p>
        </w:tc>
      </w:tr>
      <w:tr>
        <w:tc>
          <w:tcPr>
            <w:tcW w:type="dxa" w:w="20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radius-card</w:t>
            </w:r>
          </w:p>
        </w:tc>
        <w:tc>
          <w:tcPr>
            <w:tcW w:type="dxa" w:w="14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24</w:t>
            </w:r>
          </w:p>
        </w:tc>
        <w:tc>
          <w:tcPr>
            <w:tcW w:type="dxa" w:w="596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Cartes et tuiles (signature visuelle)</w:t>
            </w:r>
          </w:p>
        </w:tc>
      </w:tr>
      <w:tr>
        <w:tc>
          <w:tcPr>
            <w:tcW w:type="dxa" w:w="20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radius-pill</w:t>
            </w:r>
          </w:p>
        </w:tc>
        <w:tc>
          <w:tcPr>
            <w:tcW w:type="dxa" w:w="14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999</w:t>
            </w:r>
          </w:p>
        </w:tc>
        <w:tc>
          <w:tcPr>
            <w:tcW w:type="dxa" w:w="59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Boutons arrondis, pastilles</w:t>
            </w:r>
          </w:p>
        </w:tc>
      </w:tr>
    </w:tbl>
    <w:p>
      <w:pPr>
        <w:spacing w:after="120"/>
      </w:pPr>
    </w:p>
    <w:p>
      <w:pPr>
        <w:pStyle w:val="Heading2"/>
      </w:pPr>
      <w:r>
        <w:t xml:space="preserve">4.3 Élévation et cibles tactiles</w:t>
      </w:r>
    </w:p>
    <w:p>
      <w:pPr>
        <w:pStyle w:val="ListParagraph"/>
        <w:numPr>
          <w:ilvl w:val="0"/>
          <w:numId w:val="3"/>
        </w:numPr>
        <w:spacing w:after="80" w:line="268"/>
        <w:jc w:val="both"/>
      </w:pPr>
      <w:r>
        <w:rPr>
          <w:b/>
          <w:bCs/>
        </w:rPr>
        <w:t xml:space="preserve">Ombre niveau 1 (cartes) — </w:t>
      </w:r>
      <w:r>
        <w:t xml:space="preserve">ombre douce : décalage Y 2, flou 8, opacité 0,06 (Android : elevation 2). Discrète, jamais lourde.</w:t>
      </w:r>
    </w:p>
    <w:p>
      <w:pPr>
        <w:pStyle w:val="ListParagraph"/>
        <w:numPr>
          <w:ilvl w:val="0"/>
          <w:numId w:val="3"/>
        </w:numPr>
        <w:spacing w:after="80" w:line="268"/>
        <w:jc w:val="both"/>
      </w:pPr>
      <w:r>
        <w:rPr>
          <w:b/>
          <w:bCs/>
        </w:rPr>
        <w:t xml:space="preserve">Ombre niveau 2 (modales) — </w:t>
      </w:r>
      <w:r>
        <w:t xml:space="preserve">Y 6, flou 16, opacité 0,12.</w:t>
      </w:r>
    </w:p>
    <w:p>
      <w:pPr>
        <w:pStyle w:val="ListParagraph"/>
        <w:numPr>
          <w:ilvl w:val="0"/>
          <w:numId w:val="3"/>
        </w:numPr>
        <w:spacing w:after="80" w:line="268"/>
        <w:jc w:val="both"/>
      </w:pPr>
      <w:r>
        <w:rPr>
          <w:b/>
          <w:bCs/>
        </w:rPr>
        <w:t xml:space="preserve">Cible tactile minimale — </w:t>
      </w:r>
      <w:r>
        <w:t xml:space="preserve">48 × 48 dp pour tout élément cliquable, même si l'icône est plus petite (zone tactile étendue).</w:t>
      </w:r>
    </w:p>
    <w:p>
      <w:r>
        <w:br w:type="page"/>
      </w:r>
    </w:p>
    <w:p>
      <w:pPr>
        <w:pStyle w:val="Heading1"/>
      </w:pPr>
      <w:r>
        <w:t xml:space="preserve">5. Bibliothèque de composants</w:t>
      </w:r>
    </w:p>
    <w:p>
      <w:pPr>
        <w:spacing w:after="120" w:line="276"/>
        <w:jc w:val="both"/>
      </w:pPr>
      <w:r>
        <w:t xml:space="preserve">Chaque composant est décrit par son apparence et ses états (normal, pressé, désactivé). Tous puisent dans les tokens des chapitres 2 à 4.</w:t>
      </w:r>
    </w:p>
    <w:p>
      <w:pPr>
        <w:pStyle w:val="Heading2"/>
      </w:pPr>
      <w:r>
        <w:t xml:space="preserve">5.1 Boutons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Type</w:t>
            </w:r>
          </w:p>
        </w:tc>
        <w:tc>
          <w:tcPr>
            <w:tcW w:type="dxa" w:w="24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Normal</w:t>
            </w:r>
          </w:p>
        </w:tc>
        <w:tc>
          <w:tcPr>
            <w:tcW w:type="dxa" w:w="24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Pressé</w:t>
            </w:r>
          </w:p>
        </w:tc>
        <w:tc>
          <w:tcPr>
            <w:tcW w:type="dxa" w:w="236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Désactivé</w:t>
            </w:r>
          </w:p>
        </w:tc>
      </w:tr>
      <w:tr>
        <w:tc>
          <w:tcPr>
            <w:tcW w:type="dxa" w:w="22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Primaire</w:t>
            </w:r>
          </w:p>
        </w:tc>
        <w:tc>
          <w:tcPr>
            <w:tcW w:type="dxa" w:w="24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Fond blue-600, texte blanc</w:t>
            </w:r>
          </w:p>
        </w:tc>
        <w:tc>
          <w:tcPr>
            <w:tcW w:type="dxa" w:w="24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Fond blue-700</w:t>
            </w:r>
          </w:p>
        </w:tc>
        <w:tc>
          <w:tcPr>
            <w:tcW w:type="dxa" w:w="23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Fond disabled, texte blanc</w:t>
            </w:r>
          </w:p>
        </w:tc>
      </w:tr>
      <w:tr>
        <w:tc>
          <w:tcPr>
            <w:tcW w:type="dxa" w:w="22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Secondaire</w:t>
            </w:r>
          </w:p>
        </w:tc>
        <w:tc>
          <w:tcPr>
            <w:tcW w:type="dxa" w:w="24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Bordure blue-600, texte blue-600, fond blanc</w:t>
            </w:r>
          </w:p>
        </w:tc>
        <w:tc>
          <w:tcPr>
            <w:tcW w:type="dxa" w:w="24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Fond blue-50</w:t>
            </w:r>
          </w:p>
        </w:tc>
        <w:tc>
          <w:tcPr>
            <w:tcW w:type="dxa" w:w="236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Bordure + texte disabled</w:t>
            </w:r>
          </w:p>
        </w:tc>
      </w:tr>
      <w:tr>
        <w:tc>
          <w:tcPr>
            <w:tcW w:type="dxa" w:w="22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SOS</w:t>
            </w:r>
          </w:p>
        </w:tc>
        <w:tc>
          <w:tcPr>
            <w:tcW w:type="dxa" w:w="24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Fond rouge #DC2626, texte blanc, pleine largeur</w:t>
            </w:r>
          </w:p>
        </w:tc>
        <w:tc>
          <w:tcPr>
            <w:tcW w:type="dxa" w:w="24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Rouge plus foncé #B91C1C</w:t>
            </w:r>
          </w:p>
        </w:tc>
        <w:tc>
          <w:tcPr>
            <w:tcW w:type="dxa" w:w="236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w:t>
            </w:r>
          </w:p>
        </w:tc>
      </w:tr>
    </w:tbl>
    <w:p>
      <w:pPr>
        <w:spacing w:after="120" w:line="276"/>
        <w:jc w:val="both"/>
      </w:pPr>
      <w:r>
        <w:t xml:space="preserve">Hauteur 52 dp, rayon pill. Le </w:t>
      </w:r>
      <w:r>
        <w:rPr>
          <w:b/>
          <w:bCs/>
        </w:rPr>
        <w:t xml:space="preserve">SOS</w:t>
      </w:r>
      <w:r>
        <w:t xml:space="preserve"> est le seul élément rouge proéminent d'un écran — il doit rester impossible à confondre avec une action ordinaire.</w:t>
      </w:r>
    </w:p>
    <w:p>
      <w:pPr>
        <w:pStyle w:val="Heading2"/>
      </w:pPr>
      <w:r>
        <w:t xml:space="preserve">5.2 Cartes et tuiles</w:t>
      </w:r>
    </w:p>
    <w:p>
      <w:pPr>
        <w:spacing w:after="120" w:line="276"/>
        <w:jc w:val="both"/>
      </w:pPr>
      <w:r>
        <w:t xml:space="preserve">Surface blanche, rayon 24, ombre niveau 1, marge intérieure 16. C'est le conteneur de base de presque tout le contenu, posé sur le dégradé. Les tuiles d'accès rapide (Carnet, Hôpitaux, Pharmacies) sont des cartes carrées avec icône en cercle blue-100 + libellé.</w:t>
      </w:r>
    </w:p>
    <w:p>
      <w:pPr>
        <w:pStyle w:val="Heading2"/>
      </w:pPr>
      <w:r>
        <w:t xml:space="preserve">5.3 Champ de saisie et recherche</w:t>
      </w:r>
    </w:p>
    <w:p>
      <w:pPr>
        <w:spacing w:after="120" w:line="276"/>
        <w:jc w:val="both"/>
      </w:pPr>
      <w:r>
        <w:t xml:space="preserve">Fond surface-muted, rayon 8, bordure line ; au focus, bordure blue-600 sur 2 dp. La recherche de symptômes (F1.1) ajoute une icône loupe à gauche et une autocomplétion en liste sous le champ.</w:t>
      </w:r>
    </w:p>
    <w:p>
      <w:pPr>
        <w:pStyle w:val="Heading2"/>
      </w:pPr>
      <w:r>
        <w:t xml:space="preserve">5.4 Badge de niveau de triage</w:t>
      </w:r>
    </w:p>
    <w:p>
      <w:pPr>
        <w:spacing w:after="120" w:line="276"/>
        <w:jc w:val="both"/>
      </w:pPr>
      <w:r>
        <w:t xml:space="preserve">Élément central du Module 1. Toujours </w:t>
      </w:r>
      <w:r>
        <w:rPr>
          <w:b/>
          <w:bCs/>
        </w:rPr>
        <w:t xml:space="preserve">icône + couleur + texte</w:t>
      </w:r>
      <w:r>
        <w:t xml:space="preserve"> (jamais la couleur seule) : pastille pleine + libellé en majuscules, sur fond clair sémantique.</w:t>
      </w:r>
    </w:p>
    <w:p>
      <w:pPr>
        <w:pStyle w:val="ListParagraph"/>
        <w:numPr>
          <w:ilvl w:val="0"/>
          <w:numId w:val="3"/>
        </w:numPr>
        <w:spacing w:after="80" w:line="268"/>
        <w:jc w:val="both"/>
      </w:pPr>
      <w:r>
        <w:rPr>
          <w:b/>
          <w:bCs/>
        </w:rPr>
        <w:t xml:space="preserve">Léger — </w:t>
      </w:r>
      <w:r>
        <w:t xml:space="preserve">point vert #1F9D57, texte #146C3A, fond #E4F5EA.</w:t>
      </w:r>
    </w:p>
    <w:p>
      <w:pPr>
        <w:pStyle w:val="ListParagraph"/>
        <w:numPr>
          <w:ilvl w:val="0"/>
          <w:numId w:val="3"/>
        </w:numPr>
        <w:spacing w:after="80" w:line="268"/>
        <w:jc w:val="both"/>
      </w:pPr>
      <w:r>
        <w:rPr>
          <w:b/>
          <w:bCs/>
        </w:rPr>
        <w:t xml:space="preserve">Modéré — </w:t>
      </w:r>
      <w:r>
        <w:t xml:space="preserve">point orange #E8911F, texte #9A5A07, fond #FDF0DD.</w:t>
      </w:r>
    </w:p>
    <w:p>
      <w:pPr>
        <w:pStyle w:val="ListParagraph"/>
        <w:numPr>
          <w:ilvl w:val="0"/>
          <w:numId w:val="3"/>
        </w:numPr>
        <w:spacing w:after="80" w:line="268"/>
        <w:jc w:val="both"/>
      </w:pPr>
      <w:r>
        <w:rPr>
          <w:b/>
          <w:bCs/>
        </w:rPr>
        <w:t xml:space="preserve">Urgent — </w:t>
      </w:r>
      <w:r>
        <w:t xml:space="preserve">point rouge #E23B3B, texte #A11616, fond #FCE8E8.</w:t>
      </w:r>
    </w:p>
    <w:p>
      <w:pPr>
        <w:pStyle w:val="Heading2"/>
      </w:pPr>
      <w:r>
        <w:t xml:space="preserve">5.5 Pastille de disponibilité (hôpitaux)</w:t>
      </w:r>
    </w:p>
    <w:p>
      <w:pPr>
        <w:spacing w:after="120" w:line="276"/>
        <w:jc w:val="both"/>
      </w:pPr>
      <w:r>
        <w:t xml:space="preserve">Petit point coloré + libellé court : vert « Disponible », orange « Après 14h », rouge « Complet ». Reprend exactement la sémantique des badges de triage pour une lecture immédiate dans la liste et sur la carte.</w:t>
      </w:r>
    </w:p>
    <w:p>
      <w:pPr>
        <w:pStyle w:val="Heading2"/>
      </w:pPr>
      <w:r>
        <w:t xml:space="preserve">5.6 En-tête et navigation basse</w:t>
      </w:r>
    </w:p>
    <w:p>
      <w:pPr>
        <w:spacing w:after="120" w:line="276"/>
        <w:jc w:val="both"/>
      </w:pPr>
      <w:r>
        <w:t xml:space="preserve">En-tête : titre H1 en blue-900 (zone claire du dégradé), flèche retour à gauche si nécessaire. Navigation basse : barre blanche fixe, 4 onglets (Accueil, Triage, Carnet, Carte) avec icône + libellé ; l'onglet actif est en blue-600, les autres en ink-500.</w:t>
      </w:r>
    </w:p>
    <w:p>
      <w:pPr>
        <w:pStyle w:val="Heading2"/>
      </w:pPr>
      <w:r>
        <w:t xml:space="preserve">5.7 Sélection de symptômes et échelle d'intensité</w:t>
      </w:r>
    </w:p>
    <w:p>
      <w:pPr>
        <w:spacing w:after="120" w:line="276"/>
        <w:jc w:val="both"/>
      </w:pPr>
      <w:r>
        <w:t xml:space="preserve">Sélection : puces (chips) cochables — bordure line au repos, fond blue-50 + bordure blue-600 une fois sélectionnées. Échelle d'intensité 1-10 (F1.2) : 10 pastilles tactiles (≥ 48 dp de zone) ; la valeur choisie et les précédentes se remplissent en blue-600.</w:t>
      </w:r>
    </w:p>
    <w:p>
      <w:r>
        <w:br w:type="page"/>
      </w:r>
    </w:p>
    <w:p>
      <w:pPr>
        <w:pStyle w:val="Heading1"/>
      </w:pPr>
      <w:r>
        <w:t xml:space="preserve">6. Accessibilité</w:t>
      </w:r>
    </w:p>
    <w:p>
      <w:pPr>
        <w:spacing w:after="120" w:line="276"/>
        <w:jc w:val="both"/>
      </w:pPr>
      <w:r>
        <w:t xml:space="preserve">L'accessibilité n'est pas une option : le public cible inclut des personnes peu à l'aise avec le numérique. Règles non négociables :</w:t>
      </w:r>
    </w:p>
    <w:p>
      <w:pPr>
        <w:pStyle w:val="ListParagraph"/>
        <w:numPr>
          <w:ilvl w:val="0"/>
          <w:numId w:val="3"/>
        </w:numPr>
        <w:spacing w:after="80" w:line="268"/>
        <w:jc w:val="both"/>
      </w:pPr>
      <w:r>
        <w:rPr>
          <w:b/>
          <w:bCs/>
        </w:rPr>
        <w:t xml:space="preserve">Redondance du sens — </w:t>
      </w:r>
      <w:r>
        <w:t xml:space="preserve">toute information portée par la couleur l'est aussi par une icône ET un texte. Une personne daltonienne distingue « Urgent » par le mot et l'icône, pas seulement le rouge.</w:t>
      </w:r>
    </w:p>
    <w:p>
      <w:pPr>
        <w:pStyle w:val="ListParagraph"/>
        <w:numPr>
          <w:ilvl w:val="0"/>
          <w:numId w:val="3"/>
        </w:numPr>
        <w:spacing w:after="80" w:line="268"/>
        <w:jc w:val="both"/>
      </w:pPr>
      <w:r>
        <w:rPr>
          <w:b/>
          <w:bCs/>
        </w:rPr>
        <w:t xml:space="preserve">Contraste AA — </w:t>
      </w:r>
      <w:r>
        <w:t xml:space="preserve">tout texte respecte le tableau du chapitre 2.5 (≥ 4,5:1, ou ≥ 3:1 pour le grand texte).</w:t>
      </w:r>
    </w:p>
    <w:p>
      <w:pPr>
        <w:pStyle w:val="ListParagraph"/>
        <w:numPr>
          <w:ilvl w:val="0"/>
          <w:numId w:val="3"/>
        </w:numPr>
        <w:spacing w:after="80" w:line="268"/>
        <w:jc w:val="both"/>
      </w:pPr>
      <w:r>
        <w:rPr>
          <w:b/>
          <w:bCs/>
        </w:rPr>
        <w:t xml:space="preserve">Zones tactiles ≥ 48 dp — </w:t>
      </w:r>
      <w:r>
        <w:t xml:space="preserve">y compris pour les petites icônes, via une zone cliquable étendue.</w:t>
      </w:r>
    </w:p>
    <w:p>
      <w:pPr>
        <w:pStyle w:val="ListParagraph"/>
        <w:numPr>
          <w:ilvl w:val="0"/>
          <w:numId w:val="3"/>
        </w:numPr>
        <w:spacing w:after="80" w:line="268"/>
        <w:jc w:val="both"/>
      </w:pPr>
      <w:r>
        <w:rPr>
          <w:b/>
          <w:bCs/>
        </w:rPr>
        <w:t xml:space="preserve">Texte lisible — </w:t>
      </w:r>
      <w:r>
        <w:t xml:space="preserve">jamais sous 13 sp ; respect des réglages système de taille de police.</w:t>
      </w:r>
    </w:p>
    <w:p>
      <w:pPr>
        <w:pStyle w:val="ListParagraph"/>
        <w:numPr>
          <w:ilvl w:val="0"/>
          <w:numId w:val="3"/>
        </w:numPr>
        <w:spacing w:after="80" w:line="268"/>
        <w:jc w:val="both"/>
      </w:pPr>
      <w:r>
        <w:rPr>
          <w:b/>
          <w:bCs/>
        </w:rPr>
        <w:t xml:space="preserve">Libellés clairs — </w:t>
      </w:r>
      <w:r>
        <w:t xml:space="preserve">verbes d'action concrets (« Démarrer le triage », « Partager ma fiche ») plutôt que termes techniques. Libellés d'accessibilité (accessibilityLabel) sur chaque contrôle pour les lecteurs d'écran.</w:t>
      </w:r>
    </w:p>
    <w:p>
      <w:r>
        <w:br w:type="page"/>
      </w:r>
    </w:p>
    <w:p>
      <w:pPr>
        <w:pStyle w:val="Heading1"/>
      </w:pPr>
      <w:r>
        <w:t xml:space="preserve">7. Implémentation Expo / React Native</w:t>
      </w:r>
    </w:p>
    <w:p>
      <w:pPr>
        <w:spacing w:after="120" w:line="276"/>
        <w:jc w:val="both"/>
      </w:pPr>
      <w:r>
        <w:t xml:space="preserve">Dépendance à installer pour le dégradé signature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E6BB8" w:sz="18"/>
              <w:bottom w:val="single" w:color="D9DEE0" w:sz="1"/>
              <w:right w:val="single" w:color="D9DEE0" w:sz="1"/>
            </w:tcBorders>
            <w:shd w:fill="F3F7FB"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npx expo install expo-linear-gradient</w:t>
            </w:r>
          </w:p>
        </w:tc>
      </w:tr>
    </w:tbl>
    <w:p>
      <w:pPr>
        <w:spacing w:after="120"/>
      </w:pPr>
    </w:p>
    <w:p>
      <w:pPr>
        <w:pStyle w:val="Heading2"/>
      </w:pPr>
      <w:r>
        <w:t xml:space="preserve">7.1 theme.ts — source unique de vérité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E6BB8" w:sz="18"/>
              <w:bottom w:val="single" w:color="D9DEE0" w:sz="1"/>
              <w:right w:val="single" w:color="D9DEE0" w:sz="1"/>
            </w:tcBorders>
            <w:shd w:fill="F3F7FB"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theme/theme.ts  — tous les tokens du design system</w:t>
            </w:r>
          </w:p>
          <w:p>
            <w:pPr>
              <w:spacing w:after="0" w:line="240"/>
            </w:pPr>
            <w:r>
              <w:rPr>
                <w:rFonts w:ascii="Consolas" w:cs="Consolas" w:eastAsia="Consolas" w:hAnsi="Consolas"/>
                <w:sz w:val="17"/>
                <w:szCs w:val="17"/>
              </w:rPr>
              <w:t xml:space="preserve">export const colors = {</w:t>
            </w:r>
          </w:p>
          <w:p>
            <w:pPr>
              <w:spacing w:after="0" w:line="240"/>
            </w:pPr>
            <w:r>
              <w:rPr>
                <w:rFonts w:ascii="Consolas" w:cs="Consolas" w:eastAsia="Consolas" w:hAnsi="Consolas"/>
                <w:sz w:val="17"/>
                <w:szCs w:val="17"/>
              </w:rPr>
              <w:t xml:space="preserve">  blue: {</w:t>
            </w:r>
          </w:p>
          <w:p>
            <w:pPr>
              <w:spacing w:after="0" w:line="240"/>
            </w:pPr>
            <w:r>
              <w:rPr>
                <w:rFonts w:ascii="Consolas" w:cs="Consolas" w:eastAsia="Consolas" w:hAnsi="Consolas"/>
                <w:sz w:val="17"/>
                <w:szCs w:val="17"/>
              </w:rPr>
              <w:t xml:space="preserve">    50:'#F2F8FD',100:'#DCEAF8',200:'#BCD6F0',300:'#93BBE6',400:'#6BA0DD',</w:t>
            </w:r>
          </w:p>
          <w:p>
            <w:pPr>
              <w:spacing w:after="0" w:line="240"/>
            </w:pPr>
            <w:r>
              <w:rPr>
                <w:rFonts w:ascii="Consolas" w:cs="Consolas" w:eastAsia="Consolas" w:hAnsi="Consolas"/>
                <w:sz w:val="17"/>
                <w:szCs w:val="17"/>
              </w:rPr>
              <w:t xml:space="preserve">    500:'#2E83CC',600:'#1E6BB8',700:'#17569A',800:'#124680',900:'#0C3463',</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Dégradé signature : du HAUT (clair) vers le BAS (bleu pur)</w:t>
            </w:r>
          </w:p>
          <w:p>
            <w:pPr>
              <w:spacing w:after="0" w:line="240"/>
            </w:pPr>
            <w:r>
              <w:rPr>
                <w:rFonts w:ascii="Consolas" w:cs="Consolas" w:eastAsia="Consolas" w:hAnsi="Consolas"/>
                <w:sz w:val="17"/>
                <w:szCs w:val="17"/>
              </w:rPr>
              <w:t xml:space="preserve">  gradient: ['#F2F8FD','#DCEAF8','#BCD6F0','#93BBE6',</w:t>
            </w:r>
          </w:p>
          <w:p>
            <w:pPr>
              <w:spacing w:after="0" w:line="240"/>
            </w:pPr>
            <w:r>
              <w:rPr>
                <w:rFonts w:ascii="Consolas" w:cs="Consolas" w:eastAsia="Consolas" w:hAnsi="Consolas"/>
                <w:sz w:val="17"/>
                <w:szCs w:val="17"/>
              </w:rPr>
              <w:t xml:space="preserve">             '#6BA0DD','#4684CE','#2E6FBE','#1E5BAA'],</w:t>
            </w:r>
          </w:p>
          <w:p>
            <w:pPr>
              <w:spacing w:after="0" w:line="240"/>
            </w:pPr>
            <w:r>
              <w:rPr>
                <w:rFonts w:ascii="Consolas" w:cs="Consolas" w:eastAsia="Consolas" w:hAnsi="Consolas"/>
                <w:sz w:val="17"/>
                <w:szCs w:val="17"/>
              </w:rPr>
              <w:t xml:space="preserve">  success: { solid:'#1F9D57', bg:'#E4F5EA', text:'#146C3A' }, // VERT</w:t>
            </w:r>
          </w:p>
          <w:p>
            <w:pPr>
              <w:spacing w:after="0" w:line="240"/>
            </w:pPr>
            <w:r>
              <w:rPr>
                <w:rFonts w:ascii="Consolas" w:cs="Consolas" w:eastAsia="Consolas" w:hAnsi="Consolas"/>
                <w:sz w:val="17"/>
                <w:szCs w:val="17"/>
              </w:rPr>
              <w:t xml:space="preserve">  warning: { solid:'#E8911F', bg:'#FDF0DD', text:'#9A5A07' }, // ORANGE</w:t>
            </w:r>
          </w:p>
          <w:p>
            <w:pPr>
              <w:spacing w:after="0" w:line="240"/>
            </w:pPr>
            <w:r>
              <w:rPr>
                <w:rFonts w:ascii="Consolas" w:cs="Consolas" w:eastAsia="Consolas" w:hAnsi="Consolas"/>
                <w:sz w:val="17"/>
                <w:szCs w:val="17"/>
              </w:rPr>
              <w:t xml:space="preserve">  danger:  { solid:'#DC2626', bg:'#FCE8E8', text:'#A11616' }, // ROUGE / SOS</w:t>
            </w:r>
          </w:p>
          <w:p>
            <w:pPr>
              <w:spacing w:after="0" w:line="240"/>
            </w:pPr>
            <w:r>
              <w:rPr>
                <w:rFonts w:ascii="Consolas" w:cs="Consolas" w:eastAsia="Consolas" w:hAnsi="Consolas"/>
                <w:sz w:val="17"/>
                <w:szCs w:val="17"/>
              </w:rPr>
              <w:t xml:space="preserve">  ink: { 900:'#11212E', 700:'#33475A', 500:'#62768A' },</w:t>
            </w:r>
          </w:p>
          <w:p>
            <w:pPr>
              <w:spacing w:after="0" w:line="240"/>
            </w:pPr>
            <w:r>
              <w:rPr>
                <w:rFonts w:ascii="Consolas" w:cs="Consolas" w:eastAsia="Consolas" w:hAnsi="Consolas"/>
                <w:sz w:val="17"/>
                <w:szCs w:val="17"/>
              </w:rPr>
              <w:t xml:space="preserve">  line:'#D9E2EA', surface:'#FFFFFF', surfaceMuted:'#F3F7FB', disabled:'#AEBDCB',</w:t>
            </w:r>
          </w:p>
          <w:p>
            <w:pPr>
              <w:spacing w:after="0" w:line="240"/>
            </w:pPr>
            <w:r>
              <w:rPr>
                <w:rFonts w:ascii="Consolas" w:cs="Consolas" w:eastAsia="Consolas" w:hAnsi="Consolas"/>
                <w:sz w:val="17"/>
                <w:szCs w:val="17"/>
              </w:rPr>
              <w:t xml:space="preserve">} as const;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const spacing = { 1:4, 2:8, 3:12, 4:16, 5:20, 6:24, 8:32, 10:40 } as const;</w:t>
            </w:r>
          </w:p>
          <w:p>
            <w:pPr>
              <w:spacing w:after="0" w:line="240"/>
            </w:pPr>
            <w:r>
              <w:rPr>
                <w:rFonts w:ascii="Consolas" w:cs="Consolas" w:eastAsia="Consolas" w:hAnsi="Consolas"/>
                <w:sz w:val="17"/>
                <w:szCs w:val="17"/>
              </w:rPr>
              <w:t xml:space="preserve">export const radius  = { sm:8, md:12, lg:16, card:24, pill:999 } as const;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const typography = {</w:t>
            </w:r>
          </w:p>
          <w:p>
            <w:pPr>
              <w:spacing w:after="0" w:line="240"/>
            </w:pPr>
            <w:r>
              <w:rPr>
                <w:rFonts w:ascii="Consolas" w:cs="Consolas" w:eastAsia="Consolas" w:hAnsi="Consolas"/>
                <w:sz w:val="17"/>
                <w:szCs w:val="17"/>
              </w:rPr>
              <w:t xml:space="preserve">  display:{ fontSize:48, fontWeight:'800', lineHeight:56 },</w:t>
            </w:r>
          </w:p>
          <w:p>
            <w:pPr>
              <w:spacing w:after="0" w:line="240"/>
            </w:pPr>
            <w:r>
              <w:rPr>
                <w:rFonts w:ascii="Consolas" w:cs="Consolas" w:eastAsia="Consolas" w:hAnsi="Consolas"/>
                <w:sz w:val="17"/>
                <w:szCs w:val="17"/>
              </w:rPr>
              <w:t xml:space="preserve">  h1:{ fontSize:24, fontWeight:'800', lineHeight:30 },</w:t>
            </w:r>
          </w:p>
          <w:p>
            <w:pPr>
              <w:spacing w:after="0" w:line="240"/>
            </w:pPr>
            <w:r>
              <w:rPr>
                <w:rFonts w:ascii="Consolas" w:cs="Consolas" w:eastAsia="Consolas" w:hAnsi="Consolas"/>
                <w:sz w:val="17"/>
                <w:szCs w:val="17"/>
              </w:rPr>
              <w:t xml:space="preserve">  h2:{ fontSize:20, fontWeight:'700', lineHeight:26 },</w:t>
            </w:r>
          </w:p>
          <w:p>
            <w:pPr>
              <w:spacing w:after="0" w:line="240"/>
            </w:pPr>
            <w:r>
              <w:rPr>
                <w:rFonts w:ascii="Consolas" w:cs="Consolas" w:eastAsia="Consolas" w:hAnsi="Consolas"/>
                <w:sz w:val="17"/>
                <w:szCs w:val="17"/>
              </w:rPr>
              <w:t xml:space="preserve">  body:{ fontSize:16, fontWeight:'400', lineHeight:24 },</w:t>
            </w:r>
          </w:p>
          <w:p>
            <w:pPr>
              <w:spacing w:after="0" w:line="240"/>
            </w:pPr>
            <w:r>
              <w:rPr>
                <w:rFonts w:ascii="Consolas" w:cs="Consolas" w:eastAsia="Consolas" w:hAnsi="Consolas"/>
                <w:sz w:val="17"/>
                <w:szCs w:val="17"/>
              </w:rPr>
              <w:t xml:space="preserve">  bodyStrong:{ fontSize:16, fontWeight:'600', lineHeight:24 },</w:t>
            </w:r>
          </w:p>
          <w:p>
            <w:pPr>
              <w:spacing w:after="0" w:line="240"/>
            </w:pPr>
            <w:r>
              <w:rPr>
                <w:rFonts w:ascii="Consolas" w:cs="Consolas" w:eastAsia="Consolas" w:hAnsi="Consolas"/>
                <w:sz w:val="17"/>
                <w:szCs w:val="17"/>
              </w:rPr>
              <w:t xml:space="preserve">  button:{ fontSize:16, fontWeight:'700' },</w:t>
            </w:r>
          </w:p>
          <w:p>
            <w:pPr>
              <w:spacing w:after="0" w:line="240"/>
            </w:pPr>
            <w:r>
              <w:rPr>
                <w:rFonts w:ascii="Consolas" w:cs="Consolas" w:eastAsia="Consolas" w:hAnsi="Consolas"/>
                <w:sz w:val="17"/>
                <w:szCs w:val="17"/>
              </w:rPr>
              <w:t xml:space="preserve">  caption:{ fontSize:13, fontWeight:'400', lineHeight:18 },</w:t>
            </w:r>
          </w:p>
          <w:p>
            <w:pPr>
              <w:spacing w:after="0" w:line="240"/>
            </w:pPr>
            <w:r>
              <w:rPr>
                <w:rFonts w:ascii="Consolas" w:cs="Consolas" w:eastAsia="Consolas" w:hAnsi="Consolas"/>
                <w:sz w:val="17"/>
                <w:szCs w:val="17"/>
              </w:rPr>
              <w:t xml:space="preserve">} as const;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const shadow = {</w:t>
            </w:r>
          </w:p>
          <w:p>
            <w:pPr>
              <w:spacing w:after="0" w:line="240"/>
            </w:pPr>
            <w:r>
              <w:rPr>
                <w:rFonts w:ascii="Consolas" w:cs="Consolas" w:eastAsia="Consolas" w:hAnsi="Consolas"/>
                <w:sz w:val="17"/>
                <w:szCs w:val="17"/>
              </w:rPr>
              <w:t xml:space="preserve">  card:{ shadowColor:'#0C3463', shadowOpacity:0.06, shadowRadius:8,</w:t>
            </w:r>
          </w:p>
          <w:p>
            <w:pPr>
              <w:spacing w:after="0" w:line="240"/>
            </w:pPr>
            <w:r>
              <w:rPr>
                <w:rFonts w:ascii="Consolas" w:cs="Consolas" w:eastAsia="Consolas" w:hAnsi="Consolas"/>
                <w:sz w:val="17"/>
                <w:szCs w:val="17"/>
              </w:rPr>
              <w:t xml:space="preserve">         shadowOffset:{width:0,height:2}, elevation:2 },</w:t>
            </w:r>
          </w:p>
          <w:p>
            <w:pPr>
              <w:spacing w:after="0" w:line="240"/>
            </w:pPr>
            <w:r>
              <w:rPr>
                <w:rFonts w:ascii="Consolas" w:cs="Consolas" w:eastAsia="Consolas" w:hAnsi="Consolas"/>
                <w:sz w:val="17"/>
                <w:szCs w:val="17"/>
              </w:rPr>
              <w:t xml:space="preserve">} as const;</w:t>
            </w:r>
          </w:p>
        </w:tc>
      </w:tr>
    </w:tbl>
    <w:p>
      <w:pPr>
        <w:spacing w:after="160" w:before="60"/>
      </w:pPr>
      <w:r>
        <w:rPr>
          <w:i/>
          <w:iCs/>
          <w:color w:val="5A6B6F"/>
          <w:sz w:val="17"/>
          <w:szCs w:val="17"/>
        </w:rPr>
        <w:t xml:space="preserve">Tout écran importe ces tokens ; aucune couleur n'est jamais écrite en dur ailleurs.</w:t>
      </w:r>
    </w:p>
    <w:p>
      <w:pPr>
        <w:pStyle w:val="Heading2"/>
      </w:pPr>
      <w:r>
        <w:t xml:space="preserve">7.2 GradientBackground — le fond signature réutilisable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E6BB8" w:sz="18"/>
              <w:bottom w:val="single" w:color="D9DEE0" w:sz="1"/>
              <w:right w:val="single" w:color="D9DEE0" w:sz="1"/>
            </w:tcBorders>
            <w:shd w:fill="F3F7FB"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components/GradientBackground.tsx</w:t>
            </w:r>
          </w:p>
          <w:p>
            <w:pPr>
              <w:spacing w:after="0" w:line="240"/>
            </w:pPr>
            <w:r>
              <w:rPr>
                <w:rFonts w:ascii="Consolas" w:cs="Consolas" w:eastAsia="Consolas" w:hAnsi="Consolas"/>
                <w:sz w:val="17"/>
                <w:szCs w:val="17"/>
              </w:rPr>
              <w:t xml:space="preserve">import { LinearGradient } from 'expo-linear-gradient';</w:t>
            </w:r>
          </w:p>
          <w:p>
            <w:pPr>
              <w:spacing w:after="0" w:line="240"/>
            </w:pPr>
            <w:r>
              <w:rPr>
                <w:rFonts w:ascii="Consolas" w:cs="Consolas" w:eastAsia="Consolas" w:hAnsi="Consolas"/>
                <w:sz w:val="17"/>
                <w:szCs w:val="17"/>
              </w:rPr>
              <w:t xml:space="preserve">import { StyleSheet } from 'react-native';</w:t>
            </w:r>
          </w:p>
          <w:p>
            <w:pPr>
              <w:spacing w:after="0" w:line="240"/>
            </w:pPr>
            <w:r>
              <w:rPr>
                <w:rFonts w:ascii="Consolas" w:cs="Consolas" w:eastAsia="Consolas" w:hAnsi="Consolas"/>
                <w:sz w:val="17"/>
                <w:szCs w:val="17"/>
              </w:rPr>
              <w:t xml:space="preserve">import { colors } from '../theme/theme';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function GradientBackground({ children }: { children: React.ReactNode })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&lt;LinearGradient</w:t>
            </w:r>
          </w:p>
          <w:p>
            <w:pPr>
              <w:spacing w:after="0" w:line="240"/>
            </w:pPr>
            <w:r>
              <w:rPr>
                <w:rFonts w:ascii="Consolas" w:cs="Consolas" w:eastAsia="Consolas" w:hAnsi="Consolas"/>
                <w:sz w:val="17"/>
                <w:szCs w:val="17"/>
              </w:rPr>
              <w:t xml:space="preserve">      colors={colors.gradient}        // clair -&gt; bleu pur</w:t>
            </w:r>
          </w:p>
          <w:p>
            <w:pPr>
              <w:spacing w:after="0" w:line="240"/>
            </w:pPr>
            <w:r>
              <w:rPr>
                <w:rFonts w:ascii="Consolas" w:cs="Consolas" w:eastAsia="Consolas" w:hAnsi="Consolas"/>
                <w:sz w:val="17"/>
                <w:szCs w:val="17"/>
              </w:rPr>
              <w:t xml:space="preserve">      start={{ x: 0.5, y: 0 }}        // haut (clair)</w:t>
            </w:r>
          </w:p>
          <w:p>
            <w:pPr>
              <w:spacing w:after="0" w:line="240"/>
            </w:pPr>
            <w:r>
              <w:rPr>
                <w:rFonts w:ascii="Consolas" w:cs="Consolas" w:eastAsia="Consolas" w:hAnsi="Consolas"/>
                <w:sz w:val="17"/>
                <w:szCs w:val="17"/>
              </w:rPr>
              <w:t xml:space="preserve">      end={{ x: 0.5, y: 1 }}          // bas (bleu pur)</w:t>
            </w:r>
          </w:p>
          <w:p>
            <w:pPr>
              <w:spacing w:after="0" w:line="240"/>
            </w:pPr>
            <w:r>
              <w:rPr>
                <w:rFonts w:ascii="Consolas" w:cs="Consolas" w:eastAsia="Consolas" w:hAnsi="Consolas"/>
                <w:sz w:val="17"/>
                <w:szCs w:val="17"/>
              </w:rPr>
              <w:t xml:space="preserve">      style={StyleSheet.absoluteFill}</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{children}</w:t>
            </w:r>
          </w:p>
          <w:p>
            <w:pPr>
              <w:spacing w:after="0" w:line="240"/>
            </w:pPr>
            <w:r>
              <w:rPr>
                <w:rFonts w:ascii="Consolas" w:cs="Consolas" w:eastAsia="Consolas" w:hAnsi="Consolas"/>
                <w:sz w:val="17"/>
                <w:szCs w:val="17"/>
              </w:rPr>
              <w:t xml:space="preserve">    &lt;/LinearGradient&gt;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spacing w:after="160" w:before="60"/>
      </w:pPr>
      <w:r>
        <w:rPr>
          <w:i/>
          <w:iCs/>
          <w:color w:val="5A6B6F"/>
          <w:sz w:val="17"/>
          <w:szCs w:val="17"/>
        </w:rPr>
        <w:t xml:space="preserve">On enveloppe n'importe quel écran : &lt;GradientBackground&gt;...contenu en cartes...&lt;/GradientBackground&gt;.</w:t>
      </w:r>
    </w:p>
    <w:p>
      <w:pPr>
        <w:pStyle w:val="Heading2"/>
      </w:pPr>
      <w:r>
        <w:t xml:space="preserve">7.3 Composants d'exemple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E6BB8" w:sz="18"/>
              <w:bottom w:val="single" w:color="D9DEE0" w:sz="1"/>
              <w:right w:val="single" w:color="D9DEE0" w:sz="1"/>
            </w:tcBorders>
            <w:shd w:fill="F3F7FB"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components/PrimaryButton.tsx</w:t>
            </w:r>
          </w:p>
          <w:p>
            <w:pPr>
              <w:spacing w:after="0" w:line="240"/>
            </w:pPr>
            <w:r>
              <w:rPr>
                <w:rFonts w:ascii="Consolas" w:cs="Consolas" w:eastAsia="Consolas" w:hAnsi="Consolas"/>
                <w:sz w:val="17"/>
                <w:szCs w:val="17"/>
              </w:rPr>
              <w:t xml:space="preserve">import { Pressable, Text, StyleSheet } from 'react-native';</w:t>
            </w:r>
          </w:p>
          <w:p>
            <w:pPr>
              <w:spacing w:after="0" w:line="240"/>
            </w:pPr>
            <w:r>
              <w:rPr>
                <w:rFonts w:ascii="Consolas" w:cs="Consolas" w:eastAsia="Consolas" w:hAnsi="Consolas"/>
                <w:sz w:val="17"/>
                <w:szCs w:val="17"/>
              </w:rPr>
              <w:t xml:space="preserve">import { colors, radius, typography } from '../theme/theme';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function PrimaryButton({ label, onPress, disabled }:</w:t>
            </w:r>
          </w:p>
          <w:p>
            <w:pPr>
              <w:spacing w:after="0" w:line="240"/>
            </w:pPr>
            <w:r>
              <w:rPr>
                <w:rFonts w:ascii="Consolas" w:cs="Consolas" w:eastAsia="Consolas" w:hAnsi="Consolas"/>
                <w:sz w:val="17"/>
                <w:szCs w:val="17"/>
              </w:rPr>
              <w:t xml:space="preserve">  { label:string; onPress:()=&gt;void; disabled?:boolean })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&lt;Pressable onPress={onPress} disabled={disabled}</w:t>
            </w:r>
          </w:p>
          <w:p>
            <w:pPr>
              <w:spacing w:after="0" w:line="240"/>
            </w:pPr>
            <w:r>
              <w:rPr>
                <w:rFonts w:ascii="Consolas" w:cs="Consolas" w:eastAsia="Consolas" w:hAnsi="Consolas"/>
                <w:sz w:val="17"/>
                <w:szCs w:val="17"/>
              </w:rPr>
              <w:t xml:space="preserve">      style={({pressed}) =&gt; [styles.btn,</w:t>
            </w:r>
          </w:p>
          <w:p>
            <w:pPr>
              <w:spacing w:after="0" w:line="240"/>
            </w:pPr>
            <w:r>
              <w:rPr>
                <w:rFonts w:ascii="Consolas" w:cs="Consolas" w:eastAsia="Consolas" w:hAnsi="Consolas"/>
                <w:sz w:val="17"/>
                <w:szCs w:val="17"/>
              </w:rPr>
              <w:t xml:space="preserve">        { backgroundColor: disabled ? colors.disabled</w:t>
            </w:r>
          </w:p>
          <w:p>
            <w:pPr>
              <w:spacing w:after="0" w:line="240"/>
            </w:pPr>
            <w:r>
              <w:rPr>
                <w:rFonts w:ascii="Consolas" w:cs="Consolas" w:eastAsia="Consolas" w:hAnsi="Consolas"/>
                <w:sz w:val="17"/>
                <w:szCs w:val="17"/>
              </w:rPr>
              <w:t xml:space="preserve">            : pressed ? colors.blue[700] : colors.blue[600] }]}&gt;</w:t>
            </w:r>
          </w:p>
          <w:p>
            <w:pPr>
              <w:spacing w:after="0" w:line="240"/>
            </w:pPr>
            <w:r>
              <w:rPr>
                <w:rFonts w:ascii="Consolas" w:cs="Consolas" w:eastAsia="Consolas" w:hAnsi="Consolas"/>
                <w:sz w:val="17"/>
                <w:szCs w:val="17"/>
              </w:rPr>
              <w:t xml:space="preserve">      &lt;Text style={styles.txt}&gt;{label}&lt;/Text&gt;</w:t>
            </w:r>
          </w:p>
          <w:p>
            <w:pPr>
              <w:spacing w:after="0" w:line="240"/>
            </w:pPr>
            <w:r>
              <w:rPr>
                <w:rFonts w:ascii="Consolas" w:cs="Consolas" w:eastAsia="Consolas" w:hAnsi="Consolas"/>
                <w:sz w:val="17"/>
                <w:szCs w:val="17"/>
              </w:rPr>
              <w:t xml:space="preserve">    &lt;/Pressable&gt;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const styles = StyleSheet.create({</w:t>
            </w:r>
          </w:p>
          <w:p>
            <w:pPr>
              <w:spacing w:after="0" w:line="240"/>
            </w:pPr>
            <w:r>
              <w:rPr>
                <w:rFonts w:ascii="Consolas" w:cs="Consolas" w:eastAsia="Consolas" w:hAnsi="Consolas"/>
                <w:sz w:val="17"/>
                <w:szCs w:val="17"/>
              </w:rPr>
              <w:t xml:space="preserve">  btn:{ height:52, borderRadius:radius.pill, alignItems:'center', justifyContent:'center' },</w:t>
            </w:r>
          </w:p>
          <w:p>
            <w:pPr>
              <w:spacing w:after="0" w:line="240"/>
            </w:pPr>
            <w:r>
              <w:rPr>
                <w:rFonts w:ascii="Consolas" w:cs="Consolas" w:eastAsia="Consolas" w:hAnsi="Consolas"/>
                <w:sz w:val="17"/>
                <w:szCs w:val="17"/>
              </w:rPr>
              <w:t xml:space="preserve">  txt:{ ...typography.button, color:'#FFFFFF' },</w:t>
            </w:r>
          </w:p>
          <w:p>
            <w:pPr>
              <w:spacing w:after="0" w:line="240"/>
            </w:pPr>
            <w:r>
              <w:rPr>
                <w:rFonts w:ascii="Consolas" w:cs="Consolas" w:eastAsia="Consolas" w:hAnsi="Consolas"/>
                <w:sz w:val="17"/>
                <w:szCs w:val="17"/>
              </w:rPr>
              <w:t xml:space="preser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E6BB8" w:sz="18"/>
              <w:bottom w:val="single" w:color="D9DEE0" w:sz="1"/>
              <w:right w:val="single" w:color="D9DEE0" w:sz="1"/>
            </w:tcBorders>
            <w:shd w:fill="F3F7FB"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components/TriageBadge.tsx  — icône + couleur + texte (accessibilité)</w:t>
            </w:r>
          </w:p>
          <w:p>
            <w:pPr>
              <w:spacing w:after="0" w:line="240"/>
            </w:pPr>
            <w:r>
              <w:rPr>
                <w:rFonts w:ascii="Consolas" w:cs="Consolas" w:eastAsia="Consolas" w:hAnsi="Consolas"/>
                <w:sz w:val="17"/>
                <w:szCs w:val="17"/>
              </w:rPr>
              <w:t xml:space="preserve">import { View, Text, StyleSheet } from 'react-native';</w:t>
            </w:r>
          </w:p>
          <w:p>
            <w:pPr>
              <w:spacing w:after="0" w:line="240"/>
            </w:pPr>
            <w:r>
              <w:rPr>
                <w:rFonts w:ascii="Consolas" w:cs="Consolas" w:eastAsia="Consolas" w:hAnsi="Consolas"/>
                <w:sz w:val="17"/>
                <w:szCs w:val="17"/>
              </w:rPr>
              <w:t xml:space="preserve">import { colors, radius } from '../theme/theme';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MAP = {</w:t>
            </w:r>
          </w:p>
          <w:p>
            <w:pPr>
              <w:spacing w:after="0" w:line="240"/>
            </w:pPr>
            <w:r>
              <w:rPr>
                <w:rFonts w:ascii="Consolas" w:cs="Consolas" w:eastAsia="Consolas" w:hAnsi="Consolas"/>
                <w:sz w:val="17"/>
                <w:szCs w:val="17"/>
              </w:rPr>
              <w:t xml:space="preserve">  leger:  { c: colors.success, label: 'LÉGER' },</w:t>
            </w:r>
          </w:p>
          <w:p>
            <w:pPr>
              <w:spacing w:after="0" w:line="240"/>
            </w:pPr>
            <w:r>
              <w:rPr>
                <w:rFonts w:ascii="Consolas" w:cs="Consolas" w:eastAsia="Consolas" w:hAnsi="Consolas"/>
                <w:sz w:val="17"/>
                <w:szCs w:val="17"/>
              </w:rPr>
              <w:t xml:space="preserve">  modere: { c: colors.warning, label: 'MODÉRÉ' },</w:t>
            </w:r>
          </w:p>
          <w:p>
            <w:pPr>
              <w:spacing w:after="0" w:line="240"/>
            </w:pPr>
            <w:r>
              <w:rPr>
                <w:rFonts w:ascii="Consolas" w:cs="Consolas" w:eastAsia="Consolas" w:hAnsi="Consolas"/>
                <w:sz w:val="17"/>
                <w:szCs w:val="17"/>
              </w:rPr>
              <w:t xml:space="preserve">  urgent: { c: colors.danger,  label: 'URGENT'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function TriageBadge({ niveau }: { niveau:'leger'|'modere'|'urgent' }) {</w:t>
            </w:r>
          </w:p>
          <w:p>
            <w:pPr>
              <w:spacing w:after="0" w:line="240"/>
            </w:pPr>
            <w:r>
              <w:rPr>
                <w:rFonts w:ascii="Consolas" w:cs="Consolas" w:eastAsia="Consolas" w:hAnsi="Consolas"/>
                <w:sz w:val="17"/>
                <w:szCs w:val="17"/>
              </w:rPr>
              <w:t xml:space="preserve">  const { c, label } = MAP[niveau];</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&lt;View style={[styles.badge,{ backgroundColor:c.bg }]}</w:t>
            </w:r>
          </w:p>
          <w:p>
            <w:pPr>
              <w:spacing w:after="0" w:line="240"/>
            </w:pPr>
            <w:r>
              <w:rPr>
                <w:rFonts w:ascii="Consolas" w:cs="Consolas" w:eastAsia="Consolas" w:hAnsi="Consolas"/>
                <w:sz w:val="17"/>
                <w:szCs w:val="17"/>
              </w:rPr>
              <w:t xml:space="preserve">          accessibilitylabel={'Niveau ' + label}&gt;</w:t>
            </w:r>
          </w:p>
          <w:p>
            <w:pPr>
              <w:spacing w:after="0" w:line="240"/>
            </w:pPr>
            <w:r>
              <w:rPr>
                <w:rFonts w:ascii="Consolas" w:cs="Consolas" w:eastAsia="Consolas" w:hAnsi="Consolas"/>
                <w:sz w:val="17"/>
                <w:szCs w:val="17"/>
              </w:rPr>
              <w:t xml:space="preserve">      &lt;View style={[styles.dot,{ backgroundColor:c.solid }]} /&gt;</w:t>
            </w:r>
          </w:p>
          <w:p>
            <w:pPr>
              <w:spacing w:after="0" w:line="240"/>
            </w:pPr>
            <w:r>
              <w:rPr>
                <w:rFonts w:ascii="Consolas" w:cs="Consolas" w:eastAsia="Consolas" w:hAnsi="Consolas"/>
                <w:sz w:val="17"/>
                <w:szCs w:val="17"/>
              </w:rPr>
              <w:t xml:space="preserve">      &lt;Text style={[styles.txt,{ color:c.text }]}&gt;{label}&lt;/Text&gt;</w:t>
            </w:r>
          </w:p>
          <w:p>
            <w:pPr>
              <w:spacing w:after="0" w:line="240"/>
            </w:pPr>
            <w:r>
              <w:rPr>
                <w:rFonts w:ascii="Consolas" w:cs="Consolas" w:eastAsia="Consolas" w:hAnsi="Consolas"/>
                <w:sz w:val="17"/>
                <w:szCs w:val="17"/>
              </w:rPr>
              <w:t xml:space="preserve">    &lt;/View&gt;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const styles = StyleSheet.create({</w:t>
            </w:r>
          </w:p>
          <w:p>
            <w:pPr>
              <w:spacing w:after="0" w:line="240"/>
            </w:pPr>
            <w:r>
              <w:rPr>
                <w:rFonts w:ascii="Consolas" w:cs="Consolas" w:eastAsia="Consolas" w:hAnsi="Consolas"/>
                <w:sz w:val="17"/>
                <w:szCs w:val="17"/>
              </w:rPr>
              <w:t xml:space="preserve">  badge:{ flexDirection:'row', alignItems:'center', alignSelf:'flex-start',</w:t>
            </w:r>
          </w:p>
          <w:p>
            <w:pPr>
              <w:spacing w:after="0" w:line="240"/>
            </w:pPr>
            <w:r>
              <w:rPr>
                <w:rFonts w:ascii="Consolas" w:cs="Consolas" w:eastAsia="Consolas" w:hAnsi="Consolas"/>
                <w:sz w:val="17"/>
                <w:szCs w:val="17"/>
              </w:rPr>
              <w:t xml:space="preserve">          paddingVertical:6, paddingHorizontal:14, borderRadius:radius.pill },</w:t>
            </w:r>
          </w:p>
          <w:p>
            <w:pPr>
              <w:spacing w:after="0" w:line="240"/>
            </w:pPr>
            <w:r>
              <w:rPr>
                <w:rFonts w:ascii="Consolas" w:cs="Consolas" w:eastAsia="Consolas" w:hAnsi="Consolas"/>
                <w:sz w:val="17"/>
                <w:szCs w:val="17"/>
              </w:rPr>
              <w:t xml:space="preserve">  dot:{ width:10, height:10, borderRadius:5, marginRight:8 },</w:t>
            </w:r>
          </w:p>
          <w:p>
            <w:pPr>
              <w:spacing w:after="0" w:line="240"/>
            </w:pPr>
            <w:r>
              <w:rPr>
                <w:rFonts w:ascii="Consolas" w:cs="Consolas" w:eastAsia="Consolas" w:hAnsi="Consolas"/>
                <w:sz w:val="17"/>
                <w:szCs w:val="17"/>
              </w:rPr>
              <w:t xml:space="preserve">  txt:{ fontSize:13, fontWeight:'800' },</w:t>
            </w:r>
          </w:p>
          <w:p>
            <w:pPr>
              <w:spacing w:after="0" w:line="240"/>
            </w:pPr>
            <w:r>
              <w:rPr>
                <w:rFonts w:ascii="Consolas" w:cs="Consolas" w:eastAsia="Consolas" w:hAnsi="Consolas"/>
                <w:sz w:val="17"/>
                <w:szCs w:val="17"/>
              </w:rPr>
              <w:t xml:space="preserve">});</w:t>
            </w:r>
          </w:p>
        </w:tc>
      </w:tr>
    </w:tbl>
    <w:p>
      <w:pPr>
        <w:spacing w:after="120"/>
      </w:pPr>
    </w:p>
    <w:p>
      <w:r>
        <w:br w:type="page"/>
      </w:r>
    </w:p>
    <w:p>
      <w:pPr>
        <w:pStyle w:val="Heading1"/>
      </w:pPr>
      <w:r>
        <w:t xml:space="preserve">8. Aperçu visuel</w:t>
      </w:r>
    </w:p>
    <w:p>
      <w:pPr>
        <w:spacing w:after="120" w:line="276"/>
        <w:jc w:val="both"/>
      </w:pPr>
      <w:r>
        <w:t xml:space="preserve">Deux écrans types appliquant le système : à gauche l'accueil (dégradé signature, cartes, pastille verte, bouton SOS rouge) ; à droite le résultat de triage avec les trois couleurs de niveau (vert / orange / rouge).</w:t>
      </w:r>
    </w:p>
    <w:p>
      <w:pPr>
        <w:spacing w:before="200"/>
        <w:jc w:val="center"/>
      </w:pPr>
      <w:r>
        <w:drawing>
          <wp:inline distT="0" distB="0" distL="0" distR="0">
            <wp:extent cx="2381250" cy="5038725"/>
            <wp:effectExtent t="0" r="0" b="0" l="0"/>
            <wp:docPr id="1" name="mockup" descr="Aperçu IVOIRSANTÉ" title="Maq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5038725"/>
                    </a:xfrm>
                    <a:prstGeom prst="rect">
                      <a:avLst/>
                    </a:prstGeom>
                  </pic:spPr>
                </pic:pic>
              </a:graphicData>
            </a:graphic>
          </wp:inline>
        </w:drawing>
      </w:r>
      <w:r>
        <w:t xml:space="preserve">     </w:t>
      </w:r>
      <w:r>
        <w:drawing>
          <wp:inline distT="0" distB="0" distL="0" distR="0">
            <wp:extent cx="2381250" cy="5038725"/>
            <wp:effectExtent t="0" r="0" b="0" l="0"/>
            <wp:docPr id="1" name="mockup" descr="Aperçu IVOIRSANTÉ" title="Maq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5038725"/>
                    </a:xfrm>
                    <a:prstGeom prst="rect">
                      <a:avLst/>
                    </a:prstGeom>
                  </pic:spPr>
                </pic:pic>
              </a:graphicData>
            </a:graphic>
          </wp:inline>
        </w:drawing>
      </w:r>
    </w:p>
    <w:p>
      <w:pPr>
        <w:spacing w:before="120"/>
        <w:jc w:val="center"/>
      </w:pPr>
      <w:r>
        <w:rPr>
          <w:i/>
          <w:iCs/>
          <w:color w:val="5A6B6F"/>
          <w:sz w:val="18"/>
          <w:szCs w:val="18"/>
        </w:rPr>
        <w:t xml:space="preserve">Écran « Accueil »                                          Écran « Résultat de triage »</w:t>
      </w:r>
    </w:p>
    <w:p>
      <w:pPr>
        <w:spacing w:after="240"/>
      </w:pPr>
    </w:p>
    <w:p>
      <w:pPr>
        <w:pBdr>
          <w:top w:val="single" w:color="1E6BB8" w:sz="6" w:space="8"/>
        </w:pBdr>
        <w:spacing w:before="160"/>
        <w:jc w:val="both"/>
      </w:pPr>
      <w:r>
        <w:rPr>
          <w:i/>
          <w:iCs/>
          <w:color w:val="5A6B6F"/>
          <w:sz w:val="19"/>
          <w:szCs w:val="19"/>
        </w:rPr>
        <w:t xml:space="preserve">Ce design system est la référence visuelle des cinq modules d'IVOIRSANTÉ. Il alimente directement l'étape 1B (interface du Module Triage) et le chapitre 7.4 du mémoire (Maquettes UI/UX). Identité bleu ciel partout, dégradé signature bas→haut, et vert/orange/rouge réservés au sens médical.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C90"/>
        <w:sz w:val="16"/>
        <w:szCs w:val="16"/>
      </w:rPr>
      <w:t xml:space="preserve">Page </w:t>
    </w:r>
    <w:r>
      <w:rPr>
        <w:color w:val="7A8C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9" w:sz="4" w:space="4"/>
      </w:pBdr>
      <w:tabs>
        <w:tab w:val="right" w:pos="9360"/>
      </w:tabs>
    </w:pPr>
    <w:r>
      <w:rPr>
        <w:color w:val="7A8C90"/>
        <w:sz w:val="16"/>
        <w:szCs w:val="16"/>
      </w:rPr>
      <w:t xml:space="preserve">IVOIRSANTÉ — Design System</w:t>
    </w:r>
    <w:r>
      <w:rPr>
        <w:color w:val="7A8C90"/>
        <w:sz w:val="16"/>
        <w:szCs w:val="16"/>
      </w:rPr>
      <w:t xml:space="preserve">	UIYA · IGL L3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E6BB8"/>
      </w:r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6BB8" w:sz="8" w:space="6"/>
      </w:pBdr>
      <w:spacing w:after="160" w:before="280"/>
      <w:outlineLvl w:val="0"/>
    </w:pPr>
    <w:rPr>
      <w:rFonts w:ascii="Arial" w:cs="Arial" w:eastAsia="Arial" w:hAnsi="Arial"/>
      <w:b/>
      <w:bCs/>
      <w:color w:val="0C3463"/>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E6BB8"/>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47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c3ec8591ccfc1ede83f5f52825d95a6259e699.png"/><Relationship Id="rId10" Type="http://schemas.openxmlformats.org/officeDocument/2006/relationships/image" Target="media/128509a7375156b2f241f80534da0ad02b1d3d1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System IVOIRSANTÉ</dc:title>
  <dc:creator>Mathieu — IVOIRSANTÉ</dc:creator>
  <cp:lastModifiedBy>Un-named</cp:lastModifiedBy>
  <cp:revision>1</cp:revision>
  <dcterms:created xsi:type="dcterms:W3CDTF">2026-06-17T13:01:56.257Z</dcterms:created>
  <dcterms:modified xsi:type="dcterms:W3CDTF">2026-06-17T13:01:56.270Z</dcterms:modified>
</cp:coreProperties>
</file>

<file path=docProps/custom.xml><?xml version="1.0" encoding="utf-8"?>
<Properties xmlns="http://schemas.openxmlformats.org/officeDocument/2006/custom-properties" xmlns:vt="http://schemas.openxmlformats.org/officeDocument/2006/docPropsVTypes"/>
</file>