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0F5C6B"/>
          <w:sz w:val="22"/>
          <w:szCs w:val="22"/>
        </w:rPr>
        <w:t xml:space="preserve">UNIVERSITÉ INTERNATIONALE DE YAMOUSSOUKRO (UIYA)</w:t>
      </w:r>
    </w:p>
    <w:p>
      <w:pPr>
        <w:spacing w:after="60"/>
        <w:jc w:val="center"/>
      </w:pPr>
      <w:r>
        <w:rPr>
          <w:color w:val="5A6B6F"/>
          <w:sz w:val="20"/>
          <w:szCs w:val="20"/>
        </w:rPr>
        <w:t xml:space="preserve">Département Informatique et Génie Logiciel — Licence L3</w:t>
      </w:r>
    </w:p>
    <w:p>
      <w:pPr>
        <w:spacing w:after="600"/>
        <w:jc w:val="center"/>
      </w:pPr>
      <w:r>
        <w:rPr>
          <w:color w:val="5A6B6F"/>
          <w:sz w:val="20"/>
          <w:szCs w:val="20"/>
        </w:rPr>
        <w:t xml:space="preserve">Projet de fin d'études — IVOIRSANTÉ</w:t>
      </w:r>
    </w:p>
    <w:p>
      <w:pPr>
        <w:pBdr>
          <w:top w:val="single" w:color="1B7A8C" w:sz="12" w:space="16"/>
        </w:pBdr>
        <w:spacing w:after="0" w:before="400"/>
        <w:jc w:val="center"/>
      </w:pPr>
    </w:p>
    <w:p>
      <w:pPr>
        <w:spacing w:after="200" w:before="300"/>
        <w:jc w:val="center"/>
      </w:pPr>
      <w:r>
        <w:rPr>
          <w:b/>
          <w:bCs/>
          <w:color w:val="0F5C6B"/>
          <w:sz w:val="40"/>
          <w:szCs w:val="40"/>
        </w:rPr>
        <w:t xml:space="preserve">ARCHITECTURE DE SÉCURITÉ DE L'APPLICATION</w:t>
      </w:r>
    </w:p>
    <w:p>
      <w:pPr>
        <w:spacing w:after="40"/>
        <w:jc w:val="center"/>
      </w:pPr>
      <w:r>
        <w:rPr>
          <w:color w:val="1B7A8C"/>
          <w:sz w:val="24"/>
          <w:szCs w:val="24"/>
        </w:rPr>
        <w:t xml:space="preserve">Conception détaillée — Défense en profondeur</w:t>
      </w:r>
    </w:p>
    <w:p>
      <w:pPr>
        <w:spacing w:after="0"/>
        <w:jc w:val="center"/>
      </w:pPr>
      <w:r>
        <w:rPr>
          <w:i/>
          <w:iCs/>
          <w:color w:val="5A6B6F"/>
          <w:sz w:val="20"/>
          <w:szCs w:val="20"/>
        </w:rPr>
        <w:t xml:space="preserve">Backend Laravel 11 · MySQL 8.0 · Mobile Expo (React Native)</w:t>
      </w:r>
    </w:p>
    <w:p>
      <w:pPr>
        <w:pBdr>
          <w:bottom w:val="single" w:color="1B7A8C" w:sz="12" w:space="16"/>
        </w:pBdr>
        <w:spacing w:after="0" w:before="16"/>
        <w:jc w:val="center"/>
      </w:pPr>
    </w:p>
    <w:p>
      <w:pPr>
        <w:spacing w:after="60" w:before="900"/>
        <w:jc w:val="center"/>
      </w:pPr>
      <w:r>
        <w:rPr>
          <w:b/>
          <w:bCs/>
          <w:color w:val="0F5C6B"/>
          <w:sz w:val="20"/>
          <w:szCs w:val="20"/>
        </w:rPr>
        <w:t xml:space="preserve">Référentiels appliqués</w:t>
      </w:r>
    </w:p>
    <w:p>
      <w:pPr>
        <w:spacing w:after="40"/>
        <w:jc w:val="center"/>
      </w:pPr>
      <w:r>
        <w:rPr>
          <w:color w:val="5A6B6F"/>
          <w:sz w:val="19"/>
          <w:szCs w:val="19"/>
        </w:rPr>
        <w:t xml:space="preserve">OWASP Top 10 · OWASP ASVS · OWASP MASVS (mobile)</w:t>
      </w:r>
    </w:p>
    <w:p>
      <w:pPr>
        <w:spacing w:after="600"/>
        <w:jc w:val="center"/>
      </w:pPr>
      <w:r>
        <w:rPr>
          <w:color w:val="5A6B6F"/>
          <w:sz w:val="19"/>
          <w:szCs w:val="19"/>
        </w:rPr>
        <w:t xml:space="preserve">Loi ivoirienne n°2013-450 sur la protection des données personnelles · Recommandations ARTCI</w:t>
      </w:r>
    </w:p>
    <w:p>
      <w:pPr>
        <w:spacing w:before="400"/>
        <w:jc w:val="center"/>
      </w:pPr>
      <w:r>
        <w:rPr>
          <w:color w:val="5A6B6F"/>
          <w:sz w:val="19"/>
          <w:szCs w:val="19"/>
        </w:rPr>
        <w:t xml:space="preserve">Auteur : Mathieu  ·  Version 1.0  ·  Juin 2026</w:t>
      </w:r>
    </w:p>
    <w:p>
      <w:r>
        <w:br w:type="page"/>
      </w:r>
    </w:p>
    <w:p>
      <w:pPr>
        <w:spacing w:after="160"/>
      </w:pPr>
      <w:r>
        <w:rPr>
          <w:b/>
          <w:bCs/>
          <w:color w:val="0F5C6B"/>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Note de cadrage</w:t>
      </w:r>
    </w:p>
    <w:p>
      <w:pPr>
        <w:spacing w:after="120" w:line="276"/>
        <w:jc w:val="both"/>
      </w:pPr>
      <w:r>
        <w:t xml:space="preserve">Ce document décrit l'architecture de sécurité complète de la plateforme IVOIRSANTÉ. Il prolonge et approfondit le chapitre 7.3 du plan de mémoire et la section 10 du cahier des charges v3.0, sans s'en écarter sur les choix déjà validés. L'objectif est double : disposer d'une référence d'implémentation directement exploitable avec </w:t>
      </w:r>
      <w:r>
        <w:rPr>
          <w:b/>
          <w:bCs/>
        </w:rPr>
        <w:t xml:space="preserve">Laravel 11</w:t>
      </w:r>
      <w:r>
        <w:t xml:space="preserve"> et </w:t>
      </w:r>
      <w:r>
        <w:rPr>
          <w:b/>
          <w:bCs/>
        </w:rPr>
        <w:t xml:space="preserve">Expo (React Native)</w:t>
      </w:r>
      <w:r>
        <w:t xml:space="preserve">, et fournir une argumentation défendable devant le jury, où chaque mesure est reliée à une menace concrète et à un référentiel reconnu.</w:t>
      </w:r>
    </w:p>
    <w:p>
      <w:pPr>
        <w:spacing w:after="120" w:line="276"/>
        <w:jc w:val="both"/>
      </w:pPr>
      <w:r>
        <w:t xml:space="preserve">La plateforme manipule des données de santé, qui constituent en droit ivoirien des </w:t>
      </w:r>
      <w:r>
        <w:rPr>
          <w:b/>
          <w:bCs/>
        </w:rPr>
        <w:t xml:space="preserve">données à caractère personnel sensibles</w:t>
      </w:r>
      <w:r>
        <w:t xml:space="preserve"> (loi n°2013-450). Le niveau d'exigence retenu est donc celui des grandes applications de santé des pays développés (modèles type NHS App au Royaume-Uni et DMP en France) : confidentialité forte, traçabilité intégrale des accès, et minimisation des données.</w:t>
      </w:r>
    </w:p>
    <w:p>
      <w:pPr>
        <w:pStyle w:val="Heading3"/>
      </w:pPr>
      <w:r>
        <w:t xml:space="preserve">Principe directeur : trois piliers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0" w:sz="1"/>
              <w:left w:val="single" w:color="1B7A8C" w:sz="18"/>
              <w:bottom w:val="single" w:color="D9DEE0" w:sz="1"/>
              <w:right w:val="single" w:color="D9DEE0" w:sz="1"/>
            </w:tcBorders>
            <w:shd w:fill="F4F6F7"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CONFIDENTIALITÉ   →  chiffrement AES-256 au repos + TLS 1.3 en transit</w:t>
            </w:r>
          </w:p>
          <w:p>
            <w:pPr>
              <w:spacing w:after="0" w:line="240"/>
            </w:pPr>
            <w:r>
              <w:rPr>
                <w:rFonts w:ascii="Consolas" w:cs="Consolas" w:eastAsia="Consolas" w:hAnsi="Consolas"/>
                <w:sz w:val="17"/>
                <w:szCs w:val="17"/>
              </w:rPr>
              <w:t xml:space="preserve">  INTÉGRITÉ         →  signature des tokens (HMAC), audit immuable, validation stricte</w:t>
            </w:r>
          </w:p>
          <w:p>
            <w:pPr>
              <w:spacing w:after="0" w:line="240"/>
            </w:pPr>
            <w:r>
              <w:rPr>
                <w:rFonts w:ascii="Consolas" w:cs="Consolas" w:eastAsia="Consolas" w:hAnsi="Consolas"/>
                <w:sz w:val="17"/>
                <w:szCs w:val="17"/>
              </w:rPr>
              <w:t xml:space="preserve">  DISPONIBILITÉ     →  rate limiting, anti-bruteforce, dégradation maîtrisée hors-ligne</w:t>
            </w:r>
          </w:p>
        </w:tc>
      </w:tr>
    </w:tbl>
    <w:p>
      <w:pPr>
        <w:spacing w:after="160" w:before="60"/>
      </w:pPr>
      <w:r>
        <w:rPr>
          <w:i/>
          <w:iCs/>
          <w:color w:val="5A6B6F"/>
          <w:sz w:val="17"/>
          <w:szCs w:val="17"/>
        </w:rPr>
        <w:t xml:space="preserve">Triade CIA appliquée à IVOIRSANTÉ — chaque chapitre du document sert au moins un de ces piliers.</w:t>
      </w:r>
    </w:p>
    <w:p>
      <w:r>
        <w:br w:type="page"/>
      </w:r>
    </w:p>
    <w:p>
      <w:pPr>
        <w:pStyle w:val="Heading1"/>
      </w:pPr>
      <w:r>
        <w:t xml:space="preserve">1. Synthèse de l'approche : défense en profondeur</w:t>
      </w:r>
    </w:p>
    <w:p>
      <w:pPr>
        <w:spacing w:after="120" w:line="276"/>
        <w:jc w:val="both"/>
      </w:pPr>
      <w:r>
        <w:t xml:space="preserve">La sécurité d'IVOIRSANTÉ ne repose sur aucun mécanisme unique. Elle est organisée en </w:t>
      </w:r>
      <w:r>
        <w:rPr>
          <w:b/>
          <w:bCs/>
        </w:rPr>
        <w:t xml:space="preserve">couches successives</w:t>
      </w:r>
      <w:r>
        <w:t xml:space="preserve"> (defense in depth) : si une couche est franchie, la suivante limite encore l'impact. Trois principes structurent l'ensemble.</w:t>
      </w:r>
    </w:p>
    <w:p>
      <w:pPr>
        <w:pStyle w:val="ListParagraph"/>
        <w:numPr>
          <w:ilvl w:val="0"/>
          <w:numId w:val="2"/>
        </w:numPr>
        <w:spacing w:after="80" w:line="268"/>
        <w:jc w:val="both"/>
      </w:pPr>
      <w:r>
        <w:rPr>
          <w:b/>
          <w:bCs/>
        </w:rPr>
        <w:t xml:space="preserve">Moindre privilège — </w:t>
      </w:r>
      <w:r>
        <w:t xml:space="preserve">chaque acteur (patient, agent de garde, gestionnaire, admin, médecin référent) ne dispose que des droits strictement nécessaires à sa fonction, et rien de plus.</w:t>
      </w:r>
    </w:p>
    <w:p>
      <w:pPr>
        <w:pStyle w:val="ListParagraph"/>
        <w:numPr>
          <w:ilvl w:val="0"/>
          <w:numId w:val="2"/>
        </w:numPr>
        <w:spacing w:after="80" w:line="268"/>
        <w:jc w:val="both"/>
      </w:pPr>
      <w:r>
        <w:rPr>
          <w:b/>
          <w:bCs/>
        </w:rPr>
        <w:t xml:space="preserve">Minimisation des données — </w:t>
      </w:r>
      <w:r>
        <w:t xml:space="preserve">seules les données indispensables sont collectées ; le matricule interne du dossier n'est jamais exposé, conformément au principe posé par la loi n°2013-450.</w:t>
      </w:r>
    </w:p>
    <w:p>
      <w:pPr>
        <w:pStyle w:val="ListParagraph"/>
        <w:numPr>
          <w:ilvl w:val="0"/>
          <w:numId w:val="2"/>
        </w:numPr>
        <w:spacing w:after="80" w:line="268"/>
        <w:jc w:val="both"/>
      </w:pPr>
      <w:r>
        <w:rPr>
          <w:b/>
          <w:bCs/>
        </w:rPr>
        <w:t xml:space="preserve">Sécurité par défaut — </w:t>
      </w:r>
      <w:r>
        <w:t xml:space="preserve">toute route est protégée par défaut ; l'accès public est l'exception explicite, jamais l'inverse.</w:t>
      </w:r>
    </w:p>
    <w:p>
      <w:pPr>
        <w:pStyle w:val="Heading2"/>
      </w:pPr>
      <w:r>
        <w:t xml:space="preserve">1.1 Les sept couches de sécurité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0" w:sz="1"/>
              <w:left w:val="single" w:color="1B7A8C" w:sz="18"/>
              <w:bottom w:val="single" w:color="D9DEE0" w:sz="1"/>
              <w:right w:val="single" w:color="D9DEE0" w:sz="1"/>
            </w:tcBorders>
            <w:shd w:fill="F4F6F7"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7. AUDIT &amp; CONFORMITÉ      Journal immuable, loi n°2013-450, ARTCI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6. DONNÉES (au repos)      Chiffrement AES-256, clés hors base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5. AUTORISATION            RBAC 3 niveaux, Policies, accès dossier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4. AUTHENTIFICATION        Tokens, activation par lien, sessions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3. APPLICATION             Validation entrées, OWASP Top 10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2. RÉSEAU / API            Rate limiting, anti-bruteforce, CORS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1. TRANSPORT               TLS 1.3, HSTS, certificate pinning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 une requête malveillante doit franchir TOUTES les couches</w:t>
            </w:r>
          </w:p>
        </w:tc>
      </w:tr>
    </w:tbl>
    <w:p>
      <w:pPr>
        <w:spacing w:after="160" w:before="60"/>
      </w:pPr>
      <w:r>
        <w:rPr>
          <w:i/>
          <w:iCs/>
          <w:color w:val="5A6B6F"/>
          <w:sz w:val="17"/>
          <w:szCs w:val="17"/>
        </w:rPr>
        <w:t xml:space="preserve">Modèle en couches : une attaque doit vaincre chaque niveau indépendamment.</w:t>
      </w:r>
    </w:p>
    <w:p>
      <w:pPr>
        <w:pStyle w:val="Heading2"/>
      </w:pPr>
      <w:r>
        <w:t xml:space="preserve">1.2 Correspondance avec le cahier des charges</w:t>
      </w:r>
    </w:p>
    <w:p>
      <w:pPr>
        <w:spacing w:after="120" w:line="276"/>
        <w:jc w:val="both"/>
      </w:pPr>
      <w:r>
        <w:t xml:space="preserve">Les mécanismes ci-dessous étaient déjà arbitrés dans le cahier des charges v3.0 (section 10). Ce document les conserve intégralement et précise leur implémentation. Les écarts ou enrichissements proposés sont signalés explicitement par la mention « Recommandation » et toujours justifiés.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200"/>
        <w:gridCol w:w="1760"/>
      </w:tblGrid>
      <w:tr>
        <w:trPr>
          <w:tblHeader/>
        </w:trPr>
        <w:tc>
          <w:tcPr>
            <w:tcW w:type="dxa" w:w="3400"/>
            <w:tcBorders>
              <w:top w:val="single" w:color="BFCDD0" w:sz="1"/>
              <w:left w:val="single" w:color="BFCDD0" w:sz="1"/>
              <w:bottom w:val="single" w:color="BFCDD0" w:sz="1"/>
              <w:right w:val="single" w:color="BFCDD0" w:sz="1"/>
            </w:tcBorders>
            <w:shd w:fill="0F5C6B" w:val="clear"/>
            <w:tcMar>
              <w:top w:type="dxa" w:w="70"/>
              <w:left w:type="dxa" w:w="110"/>
              <w:bottom w:type="dxa" w:w="70"/>
              <w:right w:type="dxa" w:w="110"/>
            </w:tcMar>
            <w:vAlign w:val="center"/>
          </w:tcPr>
          <w:p>
            <w:pPr>
              <w:spacing w:after="0" w:line="252"/>
              <w:jc w:val="left"/>
            </w:pPr>
            <w:r>
              <w:rPr>
                <w:b/>
                <w:bCs/>
                <w:color w:val="FFFFFF"/>
                <w:sz w:val="19"/>
                <w:szCs w:val="19"/>
              </w:rPr>
              <w:t xml:space="preserve">Mécanisme (CdC v3.0)</w:t>
            </w:r>
          </w:p>
        </w:tc>
        <w:tc>
          <w:tcPr>
            <w:tcW w:type="dxa" w:w="4200"/>
            <w:tcBorders>
              <w:top w:val="single" w:color="BFCDD0" w:sz="1"/>
              <w:left w:val="single" w:color="BFCDD0" w:sz="1"/>
              <w:bottom w:val="single" w:color="BFCDD0" w:sz="1"/>
              <w:right w:val="single" w:color="BFCDD0" w:sz="1"/>
            </w:tcBorders>
            <w:shd w:fill="0F5C6B" w:val="clear"/>
            <w:tcMar>
              <w:top w:type="dxa" w:w="70"/>
              <w:left w:type="dxa" w:w="110"/>
              <w:bottom w:type="dxa" w:w="70"/>
              <w:right w:type="dxa" w:w="110"/>
            </w:tcMar>
            <w:vAlign w:val="center"/>
          </w:tcPr>
          <w:p>
            <w:pPr>
              <w:spacing w:after="0" w:line="252"/>
              <w:jc w:val="left"/>
            </w:pPr>
            <w:r>
              <w:rPr>
                <w:b/>
                <w:bCs/>
                <w:color w:val="FFFFFF"/>
                <w:sz w:val="19"/>
                <w:szCs w:val="19"/>
              </w:rPr>
              <w:t xml:space="preserve">Statut dans ce document</w:t>
            </w:r>
          </w:p>
        </w:tc>
        <w:tc>
          <w:tcPr>
            <w:tcW w:type="dxa" w:w="1760"/>
            <w:tcBorders>
              <w:top w:val="single" w:color="BFCDD0" w:sz="1"/>
              <w:left w:val="single" w:color="BFCDD0" w:sz="1"/>
              <w:bottom w:val="single" w:color="BFCDD0" w:sz="1"/>
              <w:right w:val="single" w:color="BFCDD0" w:sz="1"/>
            </w:tcBorders>
            <w:shd w:fill="0F5C6B" w:val="clear"/>
            <w:tcMar>
              <w:top w:type="dxa" w:w="70"/>
              <w:left w:type="dxa" w:w="110"/>
              <w:bottom w:type="dxa" w:w="70"/>
              <w:right w:type="dxa" w:w="110"/>
            </w:tcMar>
            <w:vAlign w:val="center"/>
          </w:tcPr>
          <w:p>
            <w:pPr>
              <w:spacing w:after="0" w:line="252"/>
              <w:jc w:val="left"/>
            </w:pPr>
            <w:r>
              <w:rPr>
                <w:b/>
                <w:bCs/>
                <w:color w:val="FFFFFF"/>
                <w:sz w:val="19"/>
                <w:szCs w:val="19"/>
              </w:rPr>
              <w:t xml:space="preserve">Chapitre</w:t>
            </w:r>
          </w:p>
        </w:tc>
      </w:tr>
      <w:tr>
        <w:tc>
          <w:tcPr>
            <w:tcW w:type="dxa" w:w="34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Authentification par token + refresh</w:t>
            </w:r>
          </w:p>
        </w:tc>
        <w:tc>
          <w:tcPr>
            <w:tcW w:type="dxa" w:w="42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Conservé, implémentation détaillée + recommandation Sanctum</w:t>
            </w:r>
          </w:p>
        </w:tc>
        <w:tc>
          <w:tcPr>
            <w:tcW w:type="dxa" w:w="176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3</w:t>
            </w:r>
          </w:p>
        </w:tc>
      </w:tr>
      <w:tr>
        <w:tc>
          <w:tcPr>
            <w:tcW w:type="dxa" w:w="34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Activation par lien e-mail à usage unique</w:t>
            </w:r>
          </w:p>
        </w:tc>
        <w:tc>
          <w:tcPr>
            <w:tcW w:type="dxa" w:w="42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Conservé</w:t>
            </w:r>
          </w:p>
        </w:tc>
        <w:tc>
          <w:tcPr>
            <w:tcW w:type="dxa" w:w="176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3</w:t>
            </w:r>
          </w:p>
        </w:tc>
      </w:tr>
      <w:tr>
        <w:tc>
          <w:tcPr>
            <w:tcW w:type="dxa" w:w="34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QR Code dynamique TOTP usage unique</w:t>
            </w:r>
          </w:p>
        </w:tc>
        <w:tc>
          <w:tcPr>
            <w:tcW w:type="dxa" w:w="42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Conservé, algorithme complet</w:t>
            </w:r>
          </w:p>
        </w:tc>
        <w:tc>
          <w:tcPr>
            <w:tcW w:type="dxa" w:w="176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5</w:t>
            </w:r>
          </w:p>
        </w:tc>
      </w:tr>
      <w:tr>
        <w:tc>
          <w:tcPr>
            <w:tcW w:type="dxa" w:w="34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Chiffrement AES-256 des données médicales</w:t>
            </w:r>
          </w:p>
        </w:tc>
        <w:tc>
          <w:tcPr>
            <w:tcW w:type="dxa" w:w="42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Conservé, gestion des clés précisée</w:t>
            </w:r>
          </w:p>
        </w:tc>
        <w:tc>
          <w:tcPr>
            <w:tcW w:type="dxa" w:w="176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6</w:t>
            </w:r>
          </w:p>
        </w:tc>
      </w:tr>
      <w:tr>
        <w:tc>
          <w:tcPr>
            <w:tcW w:type="dxa" w:w="34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HTTPS / TLS 1.3</w:t>
            </w:r>
          </w:p>
        </w:tc>
        <w:tc>
          <w:tcPr>
            <w:tcW w:type="dxa" w:w="42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Conservé + HSTS et pinning ajoutés</w:t>
            </w:r>
          </w:p>
        </w:tc>
        <w:tc>
          <w:tcPr>
            <w:tcW w:type="dxa" w:w="176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7</w:t>
            </w:r>
          </w:p>
        </w:tc>
      </w:tr>
      <w:tr>
        <w:tc>
          <w:tcPr>
            <w:tcW w:type="dxa" w:w="34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Rate limiting + blocage 5 échecs</w:t>
            </w:r>
          </w:p>
        </w:tc>
        <w:tc>
          <w:tcPr>
            <w:tcW w:type="dxa" w:w="42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Conservé</w:t>
            </w:r>
          </w:p>
        </w:tc>
        <w:tc>
          <w:tcPr>
            <w:tcW w:type="dxa" w:w="176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9</w:t>
            </w:r>
          </w:p>
        </w:tc>
      </w:tr>
      <w:tr>
        <w:tc>
          <w:tcPr>
            <w:tcW w:type="dxa" w:w="34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Journal d'audit immuable</w:t>
            </w:r>
          </w:p>
        </w:tc>
        <w:tc>
          <w:tcPr>
            <w:tcW w:type="dxa" w:w="42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Conservé, table durcie</w:t>
            </w:r>
          </w:p>
        </w:tc>
        <w:tc>
          <w:tcPr>
            <w:tcW w:type="dxa" w:w="176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10</w:t>
            </w:r>
          </w:p>
        </w:tc>
      </w:tr>
    </w:tbl>
    <w:p>
      <w:r>
        <w:br w:type="page"/>
      </w:r>
    </w:p>
    <w:p>
      <w:pPr>
        <w:pStyle w:val="Heading1"/>
      </w:pPr>
      <w:r>
        <w:t xml:space="preserve">2. Modèle de menaces (threat model)</w:t>
      </w:r>
    </w:p>
    <w:p>
      <w:pPr>
        <w:spacing w:after="120" w:line="276"/>
        <w:jc w:val="both"/>
      </w:pPr>
      <w:r>
        <w:t xml:space="preserve">Avant de choisir des mesures, on identifie ce que l'on protège et contre quoi. La méthode retenue est </w:t>
      </w:r>
      <w:r>
        <w:rPr>
          <w:b/>
          <w:bCs/>
        </w:rPr>
        <w:t xml:space="preserve">STRIDE</w:t>
      </w:r>
      <w:r>
        <w:t xml:space="preserve"> (Spoofing, Tampering, Repudiation, Information disclosure, Denial of service, Elevation of privilege), appliquée aux actifs sensibles d'IVOIRSANTÉ.</w:t>
      </w:r>
    </w:p>
    <w:p>
      <w:pPr>
        <w:pStyle w:val="Heading2"/>
      </w:pPr>
      <w:r>
        <w:t xml:space="preserve">2.1 Actifs sensibles</w:t>
      </w:r>
    </w:p>
    <w:p>
      <w:pPr>
        <w:pStyle w:val="ListParagraph"/>
        <w:numPr>
          <w:ilvl w:val="0"/>
          <w:numId w:val="2"/>
        </w:numPr>
        <w:spacing w:after="80" w:line="268"/>
        <w:jc w:val="both"/>
      </w:pPr>
      <w:r>
        <w:rPr>
          <w:b/>
          <w:bCs/>
        </w:rPr>
        <w:t xml:space="preserve">Dossier médical d'un membre — </w:t>
      </w:r>
      <w:r>
        <w:t xml:space="preserve">antécédents, ordonnances, résultats d'analyses, numéro CMU, groupe sanguin. Actif le plus critique.</w:t>
      </w:r>
    </w:p>
    <w:p>
      <w:pPr>
        <w:pStyle w:val="ListParagraph"/>
        <w:numPr>
          <w:ilvl w:val="0"/>
          <w:numId w:val="2"/>
        </w:numPr>
        <w:spacing w:after="80" w:line="268"/>
        <w:jc w:val="both"/>
      </w:pPr>
      <w:r>
        <w:rPr>
          <w:b/>
          <w:bCs/>
        </w:rPr>
        <w:t xml:space="preserve">Token QR dynamique — </w:t>
      </w:r>
      <w:r>
        <w:t xml:space="preserve">clé d'accès temporaire au dossier ; sa compromission ouvre le dossier.</w:t>
      </w:r>
    </w:p>
    <w:p>
      <w:pPr>
        <w:pStyle w:val="ListParagraph"/>
        <w:numPr>
          <w:ilvl w:val="0"/>
          <w:numId w:val="2"/>
        </w:numPr>
        <w:spacing w:after="80" w:line="268"/>
        <w:jc w:val="both"/>
      </w:pPr>
      <w:r>
        <w:rPr>
          <w:b/>
          <w:bCs/>
        </w:rPr>
        <w:t xml:space="preserve">Identifiants &amp; sessions — </w:t>
      </w:r>
      <w:r>
        <w:t xml:space="preserve">tokens d'authentification du patient et du personnel hospitalier.</w:t>
      </w:r>
    </w:p>
    <w:p>
      <w:pPr>
        <w:pStyle w:val="ListParagraph"/>
        <w:numPr>
          <w:ilvl w:val="0"/>
          <w:numId w:val="2"/>
        </w:numPr>
        <w:spacing w:after="80" w:line="268"/>
        <w:jc w:val="both"/>
      </w:pPr>
      <w:r>
        <w:rPr>
          <w:b/>
          <w:bCs/>
        </w:rPr>
        <w:t xml:space="preserve">Matricule interne (IVS-AAAA-XX-NNNNN) — </w:t>
      </w:r>
      <w:r>
        <w:t xml:space="preserve">identifiant permanent du dossier ; ne doit jamais fuiter.</w:t>
      </w:r>
    </w:p>
    <w:p>
      <w:pPr>
        <w:pStyle w:val="ListParagraph"/>
        <w:numPr>
          <w:ilvl w:val="0"/>
          <w:numId w:val="2"/>
        </w:numPr>
        <w:spacing w:after="80" w:line="268"/>
        <w:jc w:val="both"/>
      </w:pPr>
      <w:r>
        <w:rPr>
          <w:b/>
          <w:bCs/>
        </w:rPr>
        <w:t xml:space="preserve">Clé de chiffrement AES — </w:t>
      </w:r>
      <w:r>
        <w:t xml:space="preserve">compromise, elle rend tout le chiffrement inutile.</w:t>
      </w:r>
    </w:p>
    <w:p>
      <w:pPr>
        <w:pStyle w:val="Heading2"/>
      </w:pPr>
      <w:r>
        <w:t xml:space="preserve">2.2 Table des menaces et niveau de risque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660"/>
        <w:gridCol w:w="1700"/>
      </w:tblGrid>
      <w:tr>
        <w:trPr>
          <w:tblHeader/>
        </w:trPr>
        <w:tc>
          <w:tcPr>
            <w:tcW w:type="dxa" w:w="2300"/>
            <w:tcBorders>
              <w:top w:val="single" w:color="BFCDD0" w:sz="1"/>
              <w:left w:val="single" w:color="BFCDD0" w:sz="1"/>
              <w:bottom w:val="single" w:color="BFCDD0" w:sz="1"/>
              <w:right w:val="single" w:color="BFCDD0" w:sz="1"/>
            </w:tcBorders>
            <w:shd w:fill="0F5C6B" w:val="clear"/>
            <w:tcMar>
              <w:top w:type="dxa" w:w="70"/>
              <w:left w:type="dxa" w:w="110"/>
              <w:bottom w:type="dxa" w:w="70"/>
              <w:right w:type="dxa" w:w="110"/>
            </w:tcMar>
            <w:vAlign w:val="center"/>
          </w:tcPr>
          <w:p>
            <w:pPr>
              <w:spacing w:after="0" w:line="252"/>
              <w:jc w:val="left"/>
            </w:pPr>
            <w:r>
              <w:rPr>
                <w:b/>
                <w:bCs/>
                <w:color w:val="FFFFFF"/>
                <w:sz w:val="19"/>
                <w:szCs w:val="19"/>
              </w:rPr>
              <w:t xml:space="preserve">Actif</w:t>
            </w:r>
          </w:p>
        </w:tc>
        <w:tc>
          <w:tcPr>
            <w:tcW w:type="dxa" w:w="2700"/>
            <w:tcBorders>
              <w:top w:val="single" w:color="BFCDD0" w:sz="1"/>
              <w:left w:val="single" w:color="BFCDD0" w:sz="1"/>
              <w:bottom w:val="single" w:color="BFCDD0" w:sz="1"/>
              <w:right w:val="single" w:color="BFCDD0" w:sz="1"/>
            </w:tcBorders>
            <w:shd w:fill="0F5C6B" w:val="clear"/>
            <w:tcMar>
              <w:top w:type="dxa" w:w="70"/>
              <w:left w:type="dxa" w:w="110"/>
              <w:bottom w:type="dxa" w:w="70"/>
              <w:right w:type="dxa" w:w="110"/>
            </w:tcMar>
            <w:vAlign w:val="center"/>
          </w:tcPr>
          <w:p>
            <w:pPr>
              <w:spacing w:after="0" w:line="252"/>
              <w:jc w:val="left"/>
            </w:pPr>
            <w:r>
              <w:rPr>
                <w:b/>
                <w:bCs/>
                <w:color w:val="FFFFFF"/>
                <w:sz w:val="19"/>
                <w:szCs w:val="19"/>
              </w:rPr>
              <w:t xml:space="preserve">Menace (STRIDE)</w:t>
            </w:r>
          </w:p>
        </w:tc>
        <w:tc>
          <w:tcPr>
            <w:tcW w:type="dxa" w:w="2660"/>
            <w:tcBorders>
              <w:top w:val="single" w:color="BFCDD0" w:sz="1"/>
              <w:left w:val="single" w:color="BFCDD0" w:sz="1"/>
              <w:bottom w:val="single" w:color="BFCDD0" w:sz="1"/>
              <w:right w:val="single" w:color="BFCDD0" w:sz="1"/>
            </w:tcBorders>
            <w:shd w:fill="0F5C6B" w:val="clear"/>
            <w:tcMar>
              <w:top w:type="dxa" w:w="70"/>
              <w:left w:type="dxa" w:w="110"/>
              <w:bottom w:type="dxa" w:w="70"/>
              <w:right w:type="dxa" w:w="110"/>
            </w:tcMar>
            <w:vAlign w:val="center"/>
          </w:tcPr>
          <w:p>
            <w:pPr>
              <w:spacing w:after="0" w:line="252"/>
              <w:jc w:val="left"/>
            </w:pPr>
            <w:r>
              <w:rPr>
                <w:b/>
                <w:bCs/>
                <w:color w:val="FFFFFF"/>
                <w:sz w:val="19"/>
                <w:szCs w:val="19"/>
              </w:rPr>
              <w:t xml:space="preserve">Scénario réaliste</w:t>
            </w:r>
          </w:p>
        </w:tc>
        <w:tc>
          <w:tcPr>
            <w:tcW w:type="dxa" w:w="1700"/>
            <w:tcBorders>
              <w:top w:val="single" w:color="BFCDD0" w:sz="1"/>
              <w:left w:val="single" w:color="BFCDD0" w:sz="1"/>
              <w:bottom w:val="single" w:color="BFCDD0" w:sz="1"/>
              <w:right w:val="single" w:color="BFCDD0" w:sz="1"/>
            </w:tcBorders>
            <w:shd w:fill="0F5C6B" w:val="clear"/>
            <w:tcMar>
              <w:top w:type="dxa" w:w="70"/>
              <w:left w:type="dxa" w:w="110"/>
              <w:bottom w:type="dxa" w:w="70"/>
              <w:right w:type="dxa" w:w="110"/>
            </w:tcMar>
            <w:vAlign w:val="center"/>
          </w:tcPr>
          <w:p>
            <w:pPr>
              <w:spacing w:after="0" w:line="252"/>
              <w:jc w:val="left"/>
            </w:pPr>
            <w:r>
              <w:rPr>
                <w:b/>
                <w:bCs/>
                <w:color w:val="FFFFFF"/>
                <w:sz w:val="19"/>
                <w:szCs w:val="19"/>
              </w:rPr>
              <w:t xml:space="preserve">Risque</w:t>
            </w:r>
          </w:p>
        </w:tc>
      </w:tr>
      <w:tr>
        <w:tc>
          <w:tcPr>
            <w:tcW w:type="dxa" w:w="23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Dossier médical</w:t>
            </w:r>
          </w:p>
        </w:tc>
        <w:tc>
          <w:tcPr>
            <w:tcW w:type="dxa" w:w="27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Information disclosure</w:t>
            </w:r>
          </w:p>
        </w:tc>
        <w:tc>
          <w:tcPr>
            <w:tcW w:type="dxa" w:w="266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Vol de la base de données ou accès SQL non autorisé</w:t>
            </w:r>
          </w:p>
        </w:tc>
        <w:tc>
          <w:tcPr>
            <w:tcW w:type="dxa" w:w="1700"/>
            <w:tcBorders>
              <w:top w:val="single" w:color="BFCDD0" w:sz="1"/>
              <w:left w:val="single" w:color="BFCDD0" w:sz="1"/>
              <w:bottom w:val="single" w:color="BFCDD0" w:sz="1"/>
              <w:right w:val="single" w:color="BFCDD0" w:sz="1"/>
            </w:tcBorders>
            <w:shd w:fill="F8D7DA" w:val="clear"/>
            <w:tcMar>
              <w:top w:type="dxa" w:w="70"/>
              <w:left w:type="dxa" w:w="110"/>
              <w:bottom w:type="dxa" w:w="70"/>
              <w:right w:type="dxa" w:w="110"/>
            </w:tcMar>
            <w:vAlign w:val="center"/>
          </w:tcPr>
          <w:p>
            <w:pPr>
              <w:spacing w:after="0" w:line="252"/>
              <w:jc w:val="left"/>
            </w:pPr>
            <w:r>
              <w:rPr>
                <w:b/>
                <w:bCs/>
                <w:sz w:val="19"/>
                <w:szCs w:val="19"/>
              </w:rPr>
              <w:t xml:space="preserve">ÉLEVÉ</w:t>
            </w:r>
          </w:p>
        </w:tc>
      </w:tr>
      <w:tr>
        <w:tc>
          <w:tcPr>
            <w:tcW w:type="dxa" w:w="23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Token QR</w:t>
            </w:r>
          </w:p>
        </w:tc>
        <w:tc>
          <w:tcPr>
            <w:tcW w:type="dxa" w:w="27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Spoofing / Replay</w:t>
            </w:r>
          </w:p>
        </w:tc>
        <w:tc>
          <w:tcPr>
            <w:tcW w:type="dxa" w:w="266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Capture d'écran du QR puis réutilisation par un tiers</w:t>
            </w:r>
          </w:p>
        </w:tc>
        <w:tc>
          <w:tcPr>
            <w:tcW w:type="dxa" w:w="1700"/>
            <w:tcBorders>
              <w:top w:val="single" w:color="BFCDD0" w:sz="1"/>
              <w:left w:val="single" w:color="BFCDD0" w:sz="1"/>
              <w:bottom w:val="single" w:color="BFCDD0" w:sz="1"/>
              <w:right w:val="single" w:color="BFCDD0" w:sz="1"/>
            </w:tcBorders>
            <w:shd w:fill="F8D7DA" w:val="clear"/>
            <w:tcMar>
              <w:top w:type="dxa" w:w="70"/>
              <w:left w:type="dxa" w:w="110"/>
              <w:bottom w:type="dxa" w:w="70"/>
              <w:right w:type="dxa" w:w="110"/>
            </w:tcMar>
            <w:vAlign w:val="center"/>
          </w:tcPr>
          <w:p>
            <w:pPr>
              <w:spacing w:after="0" w:line="252"/>
              <w:jc w:val="left"/>
            </w:pPr>
            <w:r>
              <w:rPr>
                <w:b/>
                <w:bCs/>
                <w:sz w:val="19"/>
                <w:szCs w:val="19"/>
              </w:rPr>
              <w:t xml:space="preserve">ÉLEVÉ</w:t>
            </w:r>
          </w:p>
        </w:tc>
      </w:tr>
      <w:tr>
        <w:tc>
          <w:tcPr>
            <w:tcW w:type="dxa" w:w="23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Sessions</w:t>
            </w:r>
          </w:p>
        </w:tc>
        <w:tc>
          <w:tcPr>
            <w:tcW w:type="dxa" w:w="27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Spoofing</w:t>
            </w:r>
          </w:p>
        </w:tc>
        <w:tc>
          <w:tcPr>
            <w:tcW w:type="dxa" w:w="266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Interception du token sur réseau Wi-Fi public (MITM)</w:t>
            </w:r>
          </w:p>
        </w:tc>
        <w:tc>
          <w:tcPr>
            <w:tcW w:type="dxa" w:w="1700"/>
            <w:tcBorders>
              <w:top w:val="single" w:color="BFCDD0" w:sz="1"/>
              <w:left w:val="single" w:color="BFCDD0" w:sz="1"/>
              <w:bottom w:val="single" w:color="BFCDD0" w:sz="1"/>
              <w:right w:val="single" w:color="BFCDD0" w:sz="1"/>
            </w:tcBorders>
            <w:shd w:fill="F8D7DA" w:val="clear"/>
            <w:tcMar>
              <w:top w:type="dxa" w:w="70"/>
              <w:left w:type="dxa" w:w="110"/>
              <w:bottom w:type="dxa" w:w="70"/>
              <w:right w:type="dxa" w:w="110"/>
            </w:tcMar>
            <w:vAlign w:val="center"/>
          </w:tcPr>
          <w:p>
            <w:pPr>
              <w:spacing w:after="0" w:line="252"/>
              <w:jc w:val="left"/>
            </w:pPr>
            <w:r>
              <w:rPr>
                <w:b/>
                <w:bCs/>
                <w:sz w:val="19"/>
                <w:szCs w:val="19"/>
              </w:rPr>
              <w:t xml:space="preserve">ÉLEVÉ</w:t>
            </w:r>
          </w:p>
        </w:tc>
      </w:tr>
      <w:tr>
        <w:tc>
          <w:tcPr>
            <w:tcW w:type="dxa" w:w="23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Connexion</w:t>
            </w:r>
          </w:p>
        </w:tc>
        <w:tc>
          <w:tcPr>
            <w:tcW w:type="dxa" w:w="27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Brute force</w:t>
            </w:r>
          </w:p>
        </w:tc>
        <w:tc>
          <w:tcPr>
            <w:tcW w:type="dxa" w:w="266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Essais massifs de mots de passe / énumération d'e-mails</w:t>
            </w:r>
          </w:p>
        </w:tc>
        <w:tc>
          <w:tcPr>
            <w:tcW w:type="dxa" w:w="1700"/>
            <w:tcBorders>
              <w:top w:val="single" w:color="BFCDD0" w:sz="1"/>
              <w:left w:val="single" w:color="BFCDD0" w:sz="1"/>
              <w:bottom w:val="single" w:color="BFCDD0" w:sz="1"/>
              <w:right w:val="single" w:color="BFCDD0" w:sz="1"/>
            </w:tcBorders>
            <w:shd w:fill="FFF3CD" w:val="clear"/>
            <w:tcMar>
              <w:top w:type="dxa" w:w="70"/>
              <w:left w:type="dxa" w:w="110"/>
              <w:bottom w:type="dxa" w:w="70"/>
              <w:right w:type="dxa" w:w="110"/>
            </w:tcMar>
            <w:vAlign w:val="center"/>
          </w:tcPr>
          <w:p>
            <w:pPr>
              <w:spacing w:after="0" w:line="252"/>
              <w:jc w:val="left"/>
            </w:pPr>
            <w:r>
              <w:rPr>
                <w:b/>
                <w:bCs/>
                <w:sz w:val="19"/>
                <w:szCs w:val="19"/>
              </w:rPr>
              <w:t xml:space="preserve">MOYEN</w:t>
            </w:r>
          </w:p>
        </w:tc>
      </w:tr>
      <w:tr>
        <w:tc>
          <w:tcPr>
            <w:tcW w:type="dxa" w:w="23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Portail admin</w:t>
            </w:r>
          </w:p>
        </w:tc>
        <w:tc>
          <w:tcPr>
            <w:tcW w:type="dxa" w:w="27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Elevation of privilege</w:t>
            </w:r>
          </w:p>
        </w:tc>
        <w:tc>
          <w:tcPr>
            <w:tcW w:type="dxa" w:w="266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Un agent de garde tente d'accéder aux droits gestionnaire</w:t>
            </w:r>
          </w:p>
        </w:tc>
        <w:tc>
          <w:tcPr>
            <w:tcW w:type="dxa" w:w="1700"/>
            <w:tcBorders>
              <w:top w:val="single" w:color="BFCDD0" w:sz="1"/>
              <w:left w:val="single" w:color="BFCDD0" w:sz="1"/>
              <w:bottom w:val="single" w:color="BFCDD0" w:sz="1"/>
              <w:right w:val="single" w:color="BFCDD0" w:sz="1"/>
            </w:tcBorders>
            <w:shd w:fill="F8D7DA" w:val="clear"/>
            <w:tcMar>
              <w:top w:type="dxa" w:w="70"/>
              <w:left w:type="dxa" w:w="110"/>
              <w:bottom w:type="dxa" w:w="70"/>
              <w:right w:type="dxa" w:w="110"/>
            </w:tcMar>
            <w:vAlign w:val="center"/>
          </w:tcPr>
          <w:p>
            <w:pPr>
              <w:spacing w:after="0" w:line="252"/>
              <w:jc w:val="left"/>
            </w:pPr>
            <w:r>
              <w:rPr>
                <w:b/>
                <w:bCs/>
                <w:sz w:val="19"/>
                <w:szCs w:val="19"/>
              </w:rPr>
              <w:t xml:space="preserve">ÉLEVÉ</w:t>
            </w:r>
          </w:p>
        </w:tc>
      </w:tr>
      <w:tr>
        <w:tc>
          <w:tcPr>
            <w:tcW w:type="dxa" w:w="23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API</w:t>
            </w:r>
          </w:p>
        </w:tc>
        <w:tc>
          <w:tcPr>
            <w:tcW w:type="dxa" w:w="27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Tampering</w:t>
            </w:r>
          </w:p>
        </w:tc>
        <w:tc>
          <w:tcPr>
            <w:tcW w:type="dxa" w:w="266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Injection SQL / XSS via un champ symptôme ou commentaire</w:t>
            </w:r>
          </w:p>
        </w:tc>
        <w:tc>
          <w:tcPr>
            <w:tcW w:type="dxa" w:w="1700"/>
            <w:tcBorders>
              <w:top w:val="single" w:color="BFCDD0" w:sz="1"/>
              <w:left w:val="single" w:color="BFCDD0" w:sz="1"/>
              <w:bottom w:val="single" w:color="BFCDD0" w:sz="1"/>
              <w:right w:val="single" w:color="BFCDD0" w:sz="1"/>
            </w:tcBorders>
            <w:shd w:fill="F8D7DA" w:val="clear"/>
            <w:tcMar>
              <w:top w:type="dxa" w:w="70"/>
              <w:left w:type="dxa" w:w="110"/>
              <w:bottom w:type="dxa" w:w="70"/>
              <w:right w:type="dxa" w:w="110"/>
            </w:tcMar>
            <w:vAlign w:val="center"/>
          </w:tcPr>
          <w:p>
            <w:pPr>
              <w:spacing w:after="0" w:line="252"/>
              <w:jc w:val="left"/>
            </w:pPr>
            <w:r>
              <w:rPr>
                <w:b/>
                <w:bCs/>
                <w:sz w:val="19"/>
                <w:szCs w:val="19"/>
              </w:rPr>
              <w:t xml:space="preserve">ÉLEVÉ</w:t>
            </w:r>
          </w:p>
        </w:tc>
      </w:tr>
      <w:tr>
        <w:tc>
          <w:tcPr>
            <w:tcW w:type="dxa" w:w="23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Accès dossier</w:t>
            </w:r>
          </w:p>
        </w:tc>
        <w:tc>
          <w:tcPr>
            <w:tcW w:type="dxa" w:w="27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Repudiation</w:t>
            </w:r>
          </w:p>
        </w:tc>
        <w:tc>
          <w:tcPr>
            <w:tcW w:type="dxa" w:w="266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Un soignant nie avoir consulté un dossier</w:t>
            </w:r>
          </w:p>
        </w:tc>
        <w:tc>
          <w:tcPr>
            <w:tcW w:type="dxa" w:w="1700"/>
            <w:tcBorders>
              <w:top w:val="single" w:color="BFCDD0" w:sz="1"/>
              <w:left w:val="single" w:color="BFCDD0" w:sz="1"/>
              <w:bottom w:val="single" w:color="BFCDD0" w:sz="1"/>
              <w:right w:val="single" w:color="BFCDD0" w:sz="1"/>
            </w:tcBorders>
            <w:shd w:fill="FFF3CD" w:val="clear"/>
            <w:tcMar>
              <w:top w:type="dxa" w:w="70"/>
              <w:left w:type="dxa" w:w="110"/>
              <w:bottom w:type="dxa" w:w="70"/>
              <w:right w:type="dxa" w:w="110"/>
            </w:tcMar>
            <w:vAlign w:val="center"/>
          </w:tcPr>
          <w:p>
            <w:pPr>
              <w:spacing w:after="0" w:line="252"/>
              <w:jc w:val="left"/>
            </w:pPr>
            <w:r>
              <w:rPr>
                <w:b/>
                <w:bCs/>
                <w:sz w:val="19"/>
                <w:szCs w:val="19"/>
              </w:rPr>
              <w:t xml:space="preserve">MOYEN</w:t>
            </w:r>
          </w:p>
        </w:tc>
      </w:tr>
      <w:tr>
        <w:tc>
          <w:tcPr>
            <w:tcW w:type="dxa" w:w="23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API</w:t>
            </w:r>
          </w:p>
        </w:tc>
        <w:tc>
          <w:tcPr>
            <w:tcW w:type="dxa" w:w="27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Denial of service</w:t>
            </w:r>
          </w:p>
        </w:tc>
        <w:tc>
          <w:tcPr>
            <w:tcW w:type="dxa" w:w="266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Saturation des endpoints publics (register, login)</w:t>
            </w:r>
          </w:p>
        </w:tc>
        <w:tc>
          <w:tcPr>
            <w:tcW w:type="dxa" w:w="1700"/>
            <w:tcBorders>
              <w:top w:val="single" w:color="BFCDD0" w:sz="1"/>
              <w:left w:val="single" w:color="BFCDD0" w:sz="1"/>
              <w:bottom w:val="single" w:color="BFCDD0" w:sz="1"/>
              <w:right w:val="single" w:color="BFCDD0" w:sz="1"/>
            </w:tcBorders>
            <w:shd w:fill="FFF3CD" w:val="clear"/>
            <w:tcMar>
              <w:top w:type="dxa" w:w="70"/>
              <w:left w:type="dxa" w:w="110"/>
              <w:bottom w:type="dxa" w:w="70"/>
              <w:right w:type="dxa" w:w="110"/>
            </w:tcMar>
            <w:vAlign w:val="center"/>
          </w:tcPr>
          <w:p>
            <w:pPr>
              <w:spacing w:after="0" w:line="252"/>
              <w:jc w:val="left"/>
            </w:pPr>
            <w:r>
              <w:rPr>
                <w:b/>
                <w:bCs/>
                <w:sz w:val="19"/>
                <w:szCs w:val="19"/>
              </w:rPr>
              <w:t xml:space="preserve">MOYEN</w:t>
            </w:r>
          </w:p>
        </w:tc>
      </w:tr>
      <w:tr>
        <w:tc>
          <w:tcPr>
            <w:tcW w:type="dxa" w:w="23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Données offline</w:t>
            </w:r>
          </w:p>
        </w:tc>
        <w:tc>
          <w:tcPr>
            <w:tcW w:type="dxa" w:w="27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Information disclosure</w:t>
            </w:r>
          </w:p>
        </w:tc>
        <w:tc>
          <w:tcPr>
            <w:tcW w:type="dxa" w:w="266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Téléphone perdu/volé avec cache local du carnet</w:t>
            </w:r>
          </w:p>
        </w:tc>
        <w:tc>
          <w:tcPr>
            <w:tcW w:type="dxa" w:w="1700"/>
            <w:tcBorders>
              <w:top w:val="single" w:color="BFCDD0" w:sz="1"/>
              <w:left w:val="single" w:color="BFCDD0" w:sz="1"/>
              <w:bottom w:val="single" w:color="BFCDD0" w:sz="1"/>
              <w:right w:val="single" w:color="BFCDD0" w:sz="1"/>
            </w:tcBorders>
            <w:shd w:fill="FFF3CD" w:val="clear"/>
            <w:tcMar>
              <w:top w:type="dxa" w:w="70"/>
              <w:left w:type="dxa" w:w="110"/>
              <w:bottom w:type="dxa" w:w="70"/>
              <w:right w:type="dxa" w:w="110"/>
            </w:tcMar>
            <w:vAlign w:val="center"/>
          </w:tcPr>
          <w:p>
            <w:pPr>
              <w:spacing w:after="0" w:line="252"/>
              <w:jc w:val="left"/>
            </w:pPr>
            <w:r>
              <w:rPr>
                <w:b/>
                <w:bCs/>
                <w:sz w:val="19"/>
                <w:szCs w:val="19"/>
              </w:rPr>
              <w:t xml:space="preserve">MOYEN</w:t>
            </w:r>
          </w:p>
        </w:tc>
      </w:tr>
      <w:tr>
        <w:tc>
          <w:tcPr>
            <w:tcW w:type="dxa" w:w="23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Clé AES</w:t>
            </w:r>
          </w:p>
        </w:tc>
        <w:tc>
          <w:tcPr>
            <w:tcW w:type="dxa" w:w="27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Information disclosure</w:t>
            </w:r>
          </w:p>
        </w:tc>
        <w:tc>
          <w:tcPr>
            <w:tcW w:type="dxa" w:w="266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Clé commise dans le dépôt Git ou laissée en base</w:t>
            </w:r>
          </w:p>
        </w:tc>
        <w:tc>
          <w:tcPr>
            <w:tcW w:type="dxa" w:w="1700"/>
            <w:tcBorders>
              <w:top w:val="single" w:color="BFCDD0" w:sz="1"/>
              <w:left w:val="single" w:color="BFCDD0" w:sz="1"/>
              <w:bottom w:val="single" w:color="BFCDD0" w:sz="1"/>
              <w:right w:val="single" w:color="BFCDD0" w:sz="1"/>
            </w:tcBorders>
            <w:shd w:fill="F8D7DA" w:val="clear"/>
            <w:tcMar>
              <w:top w:type="dxa" w:w="70"/>
              <w:left w:type="dxa" w:w="110"/>
              <w:bottom w:type="dxa" w:w="70"/>
              <w:right w:type="dxa" w:w="110"/>
            </w:tcMar>
            <w:vAlign w:val="center"/>
          </w:tcPr>
          <w:p>
            <w:pPr>
              <w:spacing w:after="0" w:line="252"/>
              <w:jc w:val="left"/>
            </w:pPr>
            <w:r>
              <w:rPr>
                <w:b/>
                <w:bCs/>
                <w:sz w:val="19"/>
                <w:szCs w:val="19"/>
              </w:rPr>
              <w:t xml:space="preserve">ÉLEVÉ</w:t>
            </w:r>
          </w:p>
        </w:tc>
      </w:tr>
    </w:tbl>
    <w:p>
      <w:pPr>
        <w:spacing w:after="120"/>
      </w:pPr>
    </w:p>
    <w:p>
      <w:pPr>
        <w:spacing w:after="120" w:line="276"/>
        <w:jc w:val="both"/>
      </w:pPr>
      <w:r>
        <w:rPr>
          <w:b/>
          <w:bCs/>
        </w:rPr>
        <w:t xml:space="preserve">Lecture : </w:t>
      </w:r>
      <w:r>
        <w:t xml:space="preserve">chaque menace de ce tableau est neutralisée par au moins une mesure des chapitres 3 à 11, récapitulées dans la matrice finale du chapitre 12.</w:t>
      </w:r>
    </w:p>
    <w:p>
      <w:r>
        <w:br w:type="page"/>
      </w:r>
    </w:p>
    <w:p>
      <w:pPr>
        <w:pStyle w:val="Heading1"/>
      </w:pPr>
      <w:r>
        <w:t xml:space="preserve">3. Authentification et gestion de session</w:t>
      </w:r>
    </w:p>
    <w:p>
      <w:pPr>
        <w:pStyle w:val="Heading2"/>
      </w:pPr>
      <w:r>
        <w:t xml:space="preserve">3.1 Choix du mécanisme : JWT ou Laravel Sanctum ?</w:t>
      </w:r>
    </w:p>
    <w:p>
      <w:pPr>
        <w:spacing w:after="120" w:line="276"/>
        <w:jc w:val="both"/>
      </w:pPr>
      <w:r>
        <w:t xml:space="preserve">Le cahier des charges retient JWT (token d'accès 24 h + refresh token 30 jours). C'est un choix valable, mais il appelle une discussion honnête, car l'écosystème Laravel propose une alternative officielle, </w:t>
      </w:r>
      <w:r>
        <w:rPr>
          <w:b/>
          <w:bCs/>
        </w:rPr>
        <w:t xml:space="preserve">Laravel Sanctum</w:t>
      </w:r>
      <w:r>
        <w:t xml:space="preserve">, souvent préférée pour ce type d'application.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BFCDD0" w:sz="1"/>
              <w:left w:val="single" w:color="BFCDD0" w:sz="1"/>
              <w:bottom w:val="single" w:color="BFCDD0" w:sz="1"/>
              <w:right w:val="single" w:color="BFCDD0" w:sz="1"/>
            </w:tcBorders>
            <w:shd w:fill="0F5C6B" w:val="clear"/>
            <w:tcMar>
              <w:top w:type="dxa" w:w="70"/>
              <w:left w:type="dxa" w:w="110"/>
              <w:bottom w:type="dxa" w:w="70"/>
              <w:right w:type="dxa" w:w="110"/>
            </w:tcMar>
            <w:vAlign w:val="center"/>
          </w:tcPr>
          <w:p>
            <w:pPr>
              <w:spacing w:after="0" w:line="252"/>
              <w:jc w:val="left"/>
            </w:pPr>
            <w:r>
              <w:rPr>
                <w:b/>
                <w:bCs/>
                <w:color w:val="FFFFFF"/>
                <w:sz w:val="19"/>
                <w:szCs w:val="19"/>
              </w:rPr>
              <w:t xml:space="preserve">Critère</w:t>
            </w:r>
          </w:p>
        </w:tc>
        <w:tc>
          <w:tcPr>
            <w:tcW w:type="dxa" w:w="3830"/>
            <w:tcBorders>
              <w:top w:val="single" w:color="BFCDD0" w:sz="1"/>
              <w:left w:val="single" w:color="BFCDD0" w:sz="1"/>
              <w:bottom w:val="single" w:color="BFCDD0" w:sz="1"/>
              <w:right w:val="single" w:color="BFCDD0" w:sz="1"/>
            </w:tcBorders>
            <w:shd w:fill="0F5C6B" w:val="clear"/>
            <w:tcMar>
              <w:top w:type="dxa" w:w="70"/>
              <w:left w:type="dxa" w:w="110"/>
              <w:bottom w:type="dxa" w:w="70"/>
              <w:right w:type="dxa" w:w="110"/>
            </w:tcMar>
            <w:vAlign w:val="center"/>
          </w:tcPr>
          <w:p>
            <w:pPr>
              <w:spacing w:after="0" w:line="252"/>
              <w:jc w:val="left"/>
            </w:pPr>
            <w:r>
              <w:rPr>
                <w:b/>
                <w:bCs/>
                <w:color w:val="FFFFFF"/>
                <w:sz w:val="19"/>
                <w:szCs w:val="19"/>
              </w:rPr>
              <w:t xml:space="preserve">JWT (php-open-source-saver/jwt-auth)</w:t>
            </w:r>
          </w:p>
        </w:tc>
        <w:tc>
          <w:tcPr>
            <w:tcW w:type="dxa" w:w="3830"/>
            <w:tcBorders>
              <w:top w:val="single" w:color="BFCDD0" w:sz="1"/>
              <w:left w:val="single" w:color="BFCDD0" w:sz="1"/>
              <w:bottom w:val="single" w:color="BFCDD0" w:sz="1"/>
              <w:right w:val="single" w:color="BFCDD0" w:sz="1"/>
            </w:tcBorders>
            <w:shd w:fill="0F5C6B" w:val="clear"/>
            <w:tcMar>
              <w:top w:type="dxa" w:w="70"/>
              <w:left w:type="dxa" w:w="110"/>
              <w:bottom w:type="dxa" w:w="70"/>
              <w:right w:type="dxa" w:w="110"/>
            </w:tcMar>
            <w:vAlign w:val="center"/>
          </w:tcPr>
          <w:p>
            <w:pPr>
              <w:spacing w:after="0" w:line="252"/>
              <w:jc w:val="left"/>
            </w:pPr>
            <w:r>
              <w:rPr>
                <w:b/>
                <w:bCs/>
                <w:color w:val="FFFFFF"/>
                <w:sz w:val="19"/>
                <w:szCs w:val="19"/>
              </w:rPr>
              <w:t xml:space="preserve">Laravel Sanctum (maintenu par l'équipe Laravel)</w:t>
            </w:r>
          </w:p>
        </w:tc>
      </w:tr>
      <w:tr>
        <w:tc>
          <w:tcPr>
            <w:tcW w:type="dxa" w:w="17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Nature du token</w:t>
            </w:r>
          </w:p>
        </w:tc>
        <w:tc>
          <w:tcPr>
            <w:tcW w:type="dxa" w:w="383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Auto-porté, signé (stateless)</w:t>
            </w:r>
          </w:p>
        </w:tc>
        <w:tc>
          <w:tcPr>
            <w:tcW w:type="dxa" w:w="383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Token opaque stocké en base (stateful)</w:t>
            </w:r>
          </w:p>
        </w:tc>
      </w:tr>
      <w:tr>
        <w:tc>
          <w:tcPr>
            <w:tcW w:type="dxa" w:w="17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Révocation immédiate</w:t>
            </w:r>
          </w:p>
        </w:tc>
        <w:tc>
          <w:tcPr>
            <w:tcW w:type="dxa" w:w="383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Difficile : nécessite une liste de blocage côté serveur</w:t>
            </w:r>
          </w:p>
        </w:tc>
        <w:tc>
          <w:tcPr>
            <w:tcW w:type="dxa" w:w="383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Native : suppression de la ligne en base</w:t>
            </w:r>
          </w:p>
        </w:tc>
      </w:tr>
      <w:tr>
        <w:tc>
          <w:tcPr>
            <w:tcW w:type="dxa" w:w="17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Charge par requête</w:t>
            </w:r>
          </w:p>
        </w:tc>
        <w:tc>
          <w:tcPr>
            <w:tcW w:type="dxa" w:w="383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Aucune lecture en base pour vérifier</w:t>
            </w:r>
          </w:p>
        </w:tc>
        <w:tc>
          <w:tcPr>
            <w:tcW w:type="dxa" w:w="383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Une lecture indexée en base par requête</w:t>
            </w:r>
          </w:p>
        </w:tc>
      </w:tr>
      <w:tr>
        <w:tc>
          <w:tcPr>
            <w:tcW w:type="dxa" w:w="17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Pertinence du cas</w:t>
            </w:r>
          </w:p>
        </w:tc>
        <w:tc>
          <w:tcPr>
            <w:tcW w:type="dxa" w:w="383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Utile pour micro-services / multi-domaines</w:t>
            </w:r>
          </w:p>
        </w:tc>
        <w:tc>
          <w:tcPr>
            <w:tcW w:type="dxa" w:w="383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Idéal pour 1 API + 1 mobile + 1 portail (cas IVOIRSANTÉ)</w:t>
            </w:r>
          </w:p>
        </w:tc>
      </w:tr>
      <w:tr>
        <w:tc>
          <w:tcPr>
            <w:tcW w:type="dxa" w:w="17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Effort L3</w:t>
            </w:r>
          </w:p>
        </w:tc>
        <w:tc>
          <w:tcPr>
            <w:tcW w:type="dxa" w:w="383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Moyen (config clés, refresh, blocklist)</w:t>
            </w:r>
          </w:p>
        </w:tc>
        <w:tc>
          <w:tcPr>
            <w:tcW w:type="dxa" w:w="383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Faible (intégré, peu de code)</w:t>
            </w:r>
          </w:p>
        </w:tc>
      </w:tr>
    </w:tbl>
    <w:p>
      <w:pPr>
        <w:spacing w:after="120"/>
      </w:pPr>
    </w:p>
    <w:p>
      <w:pPr>
        <w:spacing w:after="120" w:line="276"/>
        <w:jc w:val="both"/>
      </w:pPr>
      <w:r>
        <w:rPr>
          <w:b/>
          <w:bCs/>
        </w:rPr>
        <w:t xml:space="preserve">Recommandation. </w:t>
      </w:r>
      <w:r>
        <w:t xml:space="preserve">Pour une donnée de santé où la </w:t>
      </w:r>
      <w:r>
        <w:rPr>
          <w:b/>
          <w:bCs/>
        </w:rPr>
        <w:t xml:space="preserve">révocation immédiate d'un token volé</w:t>
      </w:r>
      <w:r>
        <w:t xml:space="preserve"> (téléphone perdu) est une exigence de sécurité forte, Sanctum est techniquement plus sûr et plus simple. Deux voies sont défendables devant le jury :</w:t>
      </w:r>
    </w:p>
    <w:p>
      <w:pPr>
        <w:pStyle w:val="ListParagraph"/>
        <w:numPr>
          <w:ilvl w:val="0"/>
          <w:numId w:val="3"/>
        </w:numPr>
        <w:spacing w:after="80" w:line="268"/>
        <w:jc w:val="both"/>
      </w:pPr>
      <w:r>
        <w:rPr>
          <w:b/>
          <w:bCs/>
        </w:rPr>
        <w:t xml:space="preserve">Voie A (conforme au CdC) — </w:t>
      </w:r>
      <w:r>
        <w:t xml:space="preserve">conserver JWT avec le package maintenu </w:t>
      </w:r>
      <w:r>
        <w:rPr>
          <w:rFonts w:ascii="Consolas" w:cs="Consolas" w:eastAsia="Consolas" w:hAnsi="Consolas"/>
          <w:sz w:val="18"/>
          <w:szCs w:val="18"/>
        </w:rPr>
        <w:t xml:space="preserve">php-open-source-saver/jwt-auth</w:t>
      </w:r>
      <w:r>
        <w:t xml:space="preserve">, un access token court (15 min) et une liste de révocation serveur. C'est le choix retenu par défaut dans la suite, pour rester aligné sur le document validé.</w:t>
      </w:r>
    </w:p>
    <w:p>
      <w:pPr>
        <w:pStyle w:val="ListParagraph"/>
        <w:numPr>
          <w:ilvl w:val="0"/>
          <w:numId w:val="3"/>
        </w:numPr>
        <w:spacing w:after="80" w:line="268"/>
        <w:jc w:val="both"/>
      </w:pPr>
      <w:r>
        <w:rPr>
          <w:b/>
          <w:bCs/>
        </w:rPr>
        <w:t xml:space="preserve">Voie B (recommandée) — </w:t>
      </w:r>
      <w:r>
        <w:t xml:space="preserve">migrer vers Sanctum pour bénéficier d'une révocation native. À mentionner en soutenance comme évolution.</w:t>
      </w:r>
    </w:p>
    <w:p>
      <w:pPr>
        <w:spacing w:after="120" w:line="276"/>
        <w:jc w:val="both"/>
      </w:pPr>
      <w:r>
        <w:rPr>
          <w:b/>
          <w:bCs/>
        </w:rPr>
        <w:t xml:space="preserve">Important : </w:t>
      </w:r>
      <w:r>
        <w:t xml:space="preserve">le cahier des charges parle d'un access token de 24 h. Un token de santé valable 24 h est trop long. La suite réduit cette durée à 15 minutes avec rotation du refresh token — c'est l'écart le plus significatif proposé.</w:t>
      </w:r>
    </w:p>
    <w:p>
      <w:pPr>
        <w:pStyle w:val="Heading2"/>
      </w:pPr>
      <w:r>
        <w:t xml:space="preserve">3.2 Configuration du package JWT (Voie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0" w:sz="1"/>
              <w:left w:val="single" w:color="1B7A8C" w:sz="18"/>
              <w:bottom w:val="single" w:color="D9DEE0" w:sz="1"/>
              <w:right w:val="single" w:color="D9DEE0" w:sz="1"/>
            </w:tcBorders>
            <w:shd w:fill="F4F6F7"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Installation du fork maintenu pour Laravel 11 (le package tymon historique</w:t>
            </w:r>
          </w:p>
          <w:p>
            <w:pPr>
              <w:spacing w:after="0" w:line="240"/>
            </w:pPr>
            <w:r>
              <w:rPr>
                <w:rFonts w:ascii="Consolas" w:cs="Consolas" w:eastAsia="Consolas" w:hAnsi="Consolas"/>
                <w:sz w:val="17"/>
                <w:szCs w:val="17"/>
              </w:rPr>
              <w:t xml:space="preserve"># n'est plus à jour ; on utilise php-open-source-saver/jwt-auth)</w:t>
            </w:r>
          </w:p>
          <w:p>
            <w:pPr>
              <w:spacing w:after="0" w:line="240"/>
            </w:pPr>
            <w:r>
              <w:rPr>
                <w:rFonts w:ascii="Consolas" w:cs="Consolas" w:eastAsia="Consolas" w:hAnsi="Consolas"/>
                <w:sz w:val="17"/>
                <w:szCs w:val="17"/>
              </w:rPr>
              <w:t xml:space="preserve">composer require php-open-source-saver/jwt-auth</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php artisan vendor:publish \</w:t>
            </w:r>
          </w:p>
          <w:p>
            <w:pPr>
              <w:spacing w:after="0" w:line="240"/>
            </w:pPr>
            <w:r>
              <w:rPr>
                <w:rFonts w:ascii="Consolas" w:cs="Consolas" w:eastAsia="Consolas" w:hAnsi="Consolas"/>
                <w:sz w:val="17"/>
                <w:szCs w:val="17"/>
              </w:rPr>
              <w:t xml:space="preserve">  --provider="PHPOpenSourceSaver\JWTAuth\Providers\LaravelServiceProvider"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Génère JWT_SECRET dans le fichier .env (ne JAMAIS le committer)</w:t>
            </w:r>
          </w:p>
          <w:p>
            <w:pPr>
              <w:spacing w:after="0" w:line="240"/>
            </w:pPr>
            <w:r>
              <w:rPr>
                <w:rFonts w:ascii="Consolas" w:cs="Consolas" w:eastAsia="Consolas" w:hAnsi="Consolas"/>
                <w:sz w:val="17"/>
                <w:szCs w:val="17"/>
              </w:rPr>
              <w:t xml:space="preserve">php artisan jwt:secret</w:t>
            </w:r>
          </w:p>
        </w:tc>
      </w:tr>
    </w:tbl>
    <w:p>
      <w:pPr>
        <w:spacing w:after="160" w:before="60"/>
      </w:pPr>
      <w:r>
        <w:rPr>
          <w:i/>
          <w:iCs/>
          <w:color w:val="5A6B6F"/>
          <w:sz w:val="17"/>
          <w:szCs w:val="17"/>
        </w:rPr>
        <w:t xml:space="preserve">Le secret JWT vit uniquement dans .env, lui-même exclu du dépôt Git via .gitignore.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0" w:sz="1"/>
              <w:left w:val="single" w:color="1B7A8C" w:sz="18"/>
              <w:bottom w:val="single" w:color="D9DEE0" w:sz="1"/>
              <w:right w:val="single" w:color="D9DEE0" w:sz="1"/>
            </w:tcBorders>
            <w:shd w:fill="F4F6F7"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config/jwt.php  — durées de vie</w:t>
            </w:r>
          </w:p>
          <w:p>
            <w:pPr>
              <w:spacing w:after="0" w:line="240"/>
            </w:pPr>
            <w:r>
              <w:rPr>
                <w:rFonts w:ascii="Consolas" w:cs="Consolas" w:eastAsia="Consolas" w:hAnsi="Consolas"/>
                <w:sz w:val="17"/>
                <w:szCs w:val="17"/>
              </w:rPr>
              <w:t xml:space="preserve">'ttl'         =&gt; 15,          // access token : 15 minutes</w:t>
            </w:r>
          </w:p>
          <w:p>
            <w:pPr>
              <w:spacing w:after="0" w:line="240"/>
            </w:pPr>
            <w:r>
              <w:rPr>
                <w:rFonts w:ascii="Consolas" w:cs="Consolas" w:eastAsia="Consolas" w:hAnsi="Consolas"/>
                <w:sz w:val="17"/>
                <w:szCs w:val="17"/>
              </w:rPr>
              <w:t xml:space="preserve">'refresh_ttl' =&gt; 43200,       // refresh token : 30 jours (en minutes)</w:t>
            </w:r>
          </w:p>
          <w:p>
            <w:pPr>
              <w:spacing w:after="0" w:line="240"/>
            </w:pPr>
            <w:r>
              <w:rPr>
                <w:rFonts w:ascii="Consolas" w:cs="Consolas" w:eastAsia="Consolas" w:hAnsi="Consolas"/>
                <w:sz w:val="17"/>
                <w:szCs w:val="17"/>
              </w:rPr>
              <w:t xml:space="preserve">'algo'        =&gt; 'HS256',     // HMAC-SHA256</w:t>
            </w:r>
          </w:p>
          <w:p>
            <w:pPr>
              <w:spacing w:after="0" w:line="240"/>
            </w:pPr>
            <w:r>
              <w:rPr>
                <w:rFonts w:ascii="Consolas" w:cs="Consolas" w:eastAsia="Consolas" w:hAnsi="Consolas"/>
                <w:sz w:val="17"/>
                <w:szCs w:val="17"/>
              </w:rPr>
              <w:t xml:space="preserve">'blacklist_enabled' =&gt; true,  // active la liste de révocation serveur</w:t>
            </w:r>
          </w:p>
        </w:tc>
      </w:tr>
    </w:tbl>
    <w:p>
      <w:pPr>
        <w:spacing w:after="120"/>
      </w:pPr>
    </w:p>
    <w:p>
      <w:pPr>
        <w:pStyle w:val="Heading2"/>
      </w:pPr>
      <w:r>
        <w:t xml:space="preserve">3.3 Cycle de vie complet d'un compte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0" w:sz="1"/>
              <w:left w:val="single" w:color="1B7A8C" w:sz="18"/>
              <w:bottom w:val="single" w:color="D9DEE0" w:sz="1"/>
              <w:right w:val="single" w:color="D9DEE0" w:sz="1"/>
            </w:tcBorders>
            <w:shd w:fill="F4F6F7"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1. INSCRIPTION                 POST /api/auth/register</w:t>
            </w:r>
          </w:p>
          <w:p>
            <w:pPr>
              <w:spacing w:after="0" w:line="240"/>
            </w:pPr>
            <w:r>
              <w:rPr>
                <w:rFonts w:ascii="Consolas" w:cs="Consolas" w:eastAsia="Consolas" w:hAnsi="Consolas"/>
                <w:sz w:val="17"/>
                <w:szCs w:val="17"/>
              </w:rPr>
              <w:t xml:space="preserve">      └─ création user (actif = false), envoi d'un lien d'activation e-mail</w:t>
            </w:r>
          </w:p>
          <w:p>
            <w:pPr>
              <w:spacing w:after="0" w:line="240"/>
            </w:pPr>
            <w:r>
              <w:rPr>
                <w:rFonts w:ascii="Consolas" w:cs="Consolas" w:eastAsia="Consolas" w:hAnsi="Consolas"/>
                <w:sz w:val="17"/>
                <w:szCs w:val="17"/>
              </w:rPr>
              <w:t xml:space="preserve">         (token usage unique, expire 24 h). AUCUN mot de passe envoyé.</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2. ACTIVATION                  GET  /api/auth/activate/{token}</w:t>
            </w:r>
          </w:p>
          <w:p>
            <w:pPr>
              <w:spacing w:after="0" w:line="240"/>
            </w:pPr>
            <w:r>
              <w:rPr>
                <w:rFonts w:ascii="Consolas" w:cs="Consolas" w:eastAsia="Consolas" w:hAnsi="Consolas"/>
                <w:sz w:val="17"/>
                <w:szCs w:val="17"/>
              </w:rPr>
              <w:t xml:space="preserve">      └─ vérif token valide + non utilisé + non expiré → user actif</w:t>
            </w:r>
          </w:p>
          <w:p>
            <w:pPr>
              <w:spacing w:after="0" w:line="240"/>
            </w:pPr>
            <w:r>
              <w:rPr>
                <w:rFonts w:ascii="Consolas" w:cs="Consolas" w:eastAsia="Consolas" w:hAnsi="Consolas"/>
                <w:sz w:val="17"/>
                <w:szCs w:val="17"/>
              </w:rPr>
              <w:t xml:space="preserve">         → l'utilisateur définit son mot de passe lui-même.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3. CONNEXION                   POST /api/auth/login</w:t>
            </w:r>
          </w:p>
          <w:p>
            <w:pPr>
              <w:spacing w:after="0" w:line="240"/>
            </w:pPr>
            <w:r>
              <w:rPr>
                <w:rFonts w:ascii="Consolas" w:cs="Consolas" w:eastAsia="Consolas" w:hAnsi="Consolas"/>
                <w:sz w:val="17"/>
                <w:szCs w:val="17"/>
              </w:rPr>
              <w:t xml:space="preserve">      └─ vérif identifiants → renvoie access (15 min) + refresh (30 j)</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4. APPELS API                  Authorization: Bearer &lt;access_token&gt;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5. RENOUVELLEMENT              POST /api/auth/refresh</w:t>
            </w:r>
          </w:p>
          <w:p>
            <w:pPr>
              <w:spacing w:after="0" w:line="240"/>
            </w:pPr>
            <w:r>
              <w:rPr>
                <w:rFonts w:ascii="Consolas" w:cs="Consolas" w:eastAsia="Consolas" w:hAnsi="Consolas"/>
                <w:sz w:val="17"/>
                <w:szCs w:val="17"/>
              </w:rPr>
              <w:t xml:space="preserve">      └─ access expiré → nouvel access ; l'ancien refresh est invalidé</w:t>
            </w:r>
          </w:p>
          <w:p>
            <w:pPr>
              <w:spacing w:after="0" w:line="240"/>
            </w:pPr>
            <w:r>
              <w:rPr>
                <w:rFonts w:ascii="Consolas" w:cs="Consolas" w:eastAsia="Consolas" w:hAnsi="Consolas"/>
                <w:sz w:val="17"/>
                <w:szCs w:val="17"/>
              </w:rPr>
              <w:t xml:space="preserve">         (rotation) pour empêcher le rejeu d'un refresh volé.</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6. DÉCONNEXION / VOL           POST /api/auth/logout</w:t>
            </w:r>
          </w:p>
          <w:p>
            <w:pPr>
              <w:spacing w:after="0" w:line="240"/>
            </w:pPr>
            <w:r>
              <w:rPr>
                <w:rFonts w:ascii="Consolas" w:cs="Consolas" w:eastAsia="Consolas" w:hAnsi="Consolas"/>
                <w:sz w:val="17"/>
                <w:szCs w:val="17"/>
              </w:rPr>
              <w:t xml:space="preserve">      └─ token mis en liste de révocation (blacklist) → inutilisable.</w:t>
            </w:r>
          </w:p>
        </w:tc>
      </w:tr>
    </w:tbl>
    <w:p>
      <w:pPr>
        <w:spacing w:after="160" w:before="60"/>
      </w:pPr>
      <w:r>
        <w:rPr>
          <w:i/>
          <w:iCs/>
          <w:color w:val="5A6B6F"/>
          <w:sz w:val="17"/>
          <w:szCs w:val="17"/>
        </w:rPr>
        <w:t xml:space="preserve">Aucun mot de passe ne transite jamais par e-mail : la menace « interception de credentials » est éliminée à la racine.</w:t>
      </w:r>
    </w:p>
    <w:p>
      <w:pPr>
        <w:pStyle w:val="Heading2"/>
      </w:pPr>
      <w:r>
        <w:t xml:space="preserve">3.4 Hachage et politique de mot de passe</w:t>
      </w:r>
    </w:p>
    <w:p>
      <w:pPr>
        <w:spacing w:after="120" w:line="276"/>
        <w:jc w:val="both"/>
      </w:pPr>
      <w:r>
        <w:t xml:space="preserve">Les mots de passe ne sont jamais stockés en clair. Laravel utilise </w:t>
      </w:r>
      <w:r>
        <w:rPr>
          <w:b/>
          <w:bCs/>
        </w:rPr>
        <w:t xml:space="preserve">bcrypt</w:t>
      </w:r>
      <w:r>
        <w:t xml:space="preserve"> par défaut ; on peut basculer sur </w:t>
      </w:r>
      <w:r>
        <w:rPr>
          <w:b/>
          <w:bCs/>
        </w:rPr>
        <w:t xml:space="preserve">Argon2id</w:t>
      </w:r>
      <w:r>
        <w:t xml:space="preserve">, recommandé par l'OWASP pour sa résistance aux attaques par GPU.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0" w:sz="1"/>
              <w:left w:val="single" w:color="1B7A8C" w:sz="18"/>
              <w:bottom w:val="single" w:color="D9DEE0" w:sz="1"/>
              <w:right w:val="single" w:color="D9DEE0" w:sz="1"/>
            </w:tcBorders>
            <w:shd w:fill="F4F6F7"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config/hashing.php</w:t>
            </w:r>
          </w:p>
          <w:p>
            <w:pPr>
              <w:spacing w:after="0" w:line="240"/>
            </w:pPr>
            <w:r>
              <w:rPr>
                <w:rFonts w:ascii="Consolas" w:cs="Consolas" w:eastAsia="Consolas" w:hAnsi="Consolas"/>
                <w:sz w:val="17"/>
                <w:szCs w:val="17"/>
              </w:rPr>
              <w:t xml:space="preserve">'driver' =&gt; 'argon2id',</w:t>
            </w:r>
          </w:p>
          <w:p>
            <w:pPr>
              <w:spacing w:after="0" w:line="240"/>
            </w:pPr>
            <w:r>
              <w:rPr>
                <w:rFonts w:ascii="Consolas" w:cs="Consolas" w:eastAsia="Consolas" w:hAnsi="Consolas"/>
                <w:sz w:val="17"/>
                <w:szCs w:val="17"/>
              </w:rPr>
              <w:t xml:space="preserve">'argon'  =&gt; ['memory' =&gt; 65536, 'threads' =&gt; 1, 'time' =&gt; 4],</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Validation à l'inscription (App\Http\Requests\RegisterRequest)</w:t>
            </w:r>
          </w:p>
          <w:p>
            <w:pPr>
              <w:spacing w:after="0" w:line="240"/>
            </w:pPr>
            <w:r>
              <w:rPr>
                <w:rFonts w:ascii="Consolas" w:cs="Consolas" w:eastAsia="Consolas" w:hAnsi="Consolas"/>
                <w:sz w:val="17"/>
                <w:szCs w:val="17"/>
              </w:rPr>
              <w:t xml:space="preserve">use Illuminate\Validation\Rules\Password;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'password' =&gt; ['required', 'confirmed', Password::min(8)</w:t>
            </w:r>
          </w:p>
          <w:p>
            <w:pPr>
              <w:spacing w:after="0" w:line="240"/>
            </w:pPr>
            <w:r>
              <w:rPr>
                <w:rFonts w:ascii="Consolas" w:cs="Consolas" w:eastAsia="Consolas" w:hAnsi="Consolas"/>
                <w:sz w:val="17"/>
                <w:szCs w:val="17"/>
              </w:rPr>
              <w:t xml:space="preserve">    -&gt;letters()-&gt;mixedCase()-&gt;numbers()-&gt;symbols()-&gt;uncompromised()],</w:t>
            </w:r>
          </w:p>
        </w:tc>
      </w:tr>
    </w:tbl>
    <w:p>
      <w:pPr>
        <w:spacing w:after="160" w:before="60"/>
      </w:pPr>
      <w:r>
        <w:rPr>
          <w:i/>
          <w:iCs/>
          <w:color w:val="5A6B6F"/>
          <w:sz w:val="17"/>
          <w:szCs w:val="17"/>
        </w:rPr>
        <w:t xml:space="preserve">La règle uncompromised() vérifie via l'API k-anonymity de HaveIBeenPwned que le mot de passe ne figure pas dans une fuite connue, sans jamais transmettre le mot de passe.</w:t>
      </w:r>
    </w:p>
    <w:p>
      <w:pPr>
        <w:pStyle w:val="Heading2"/>
      </w:pPr>
      <w:r>
        <w:t xml:space="preserve">3.5 Stockage des tokens côté Expo (mobile)</w:t>
      </w:r>
    </w:p>
    <w:p>
      <w:pPr>
        <w:spacing w:after="120" w:line="276"/>
        <w:jc w:val="both"/>
      </w:pPr>
      <w:r>
        <w:t xml:space="preserve">Un token ne doit jamais être conservé dans </w:t>
      </w:r>
      <w:r>
        <w:rPr>
          <w:rFonts w:ascii="Consolas" w:cs="Consolas" w:eastAsia="Consolas" w:hAnsi="Consolas"/>
          <w:sz w:val="18"/>
          <w:szCs w:val="18"/>
        </w:rPr>
        <w:t xml:space="preserve">AsyncStorage</w:t>
      </w:r>
      <w:r>
        <w:t xml:space="preserve"> (non chiffré). On utilise </w:t>
      </w:r>
      <w:r>
        <w:rPr>
          <w:b/>
          <w:bCs/>
        </w:rPr>
        <w:t xml:space="preserve">expo-secure-store</w:t>
      </w:r>
      <w:r>
        <w:t xml:space="preserve">, qui s'appuie sur le Keychain iOS et le Keystore Android — un stockage matériel chiffré.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0" w:sz="1"/>
              <w:left w:val="single" w:color="1B7A8C" w:sz="18"/>
              <w:bottom w:val="single" w:color="D9DEE0" w:sz="1"/>
              <w:right w:val="single" w:color="D9DEE0" w:sz="1"/>
            </w:tcBorders>
            <w:shd w:fill="F4F6F7"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services/auth.ts  (Expo / React Native)</w:t>
            </w:r>
          </w:p>
          <w:p>
            <w:pPr>
              <w:spacing w:after="0" w:line="240"/>
            </w:pPr>
            <w:r>
              <w:rPr>
                <w:rFonts w:ascii="Consolas" w:cs="Consolas" w:eastAsia="Consolas" w:hAnsi="Consolas"/>
                <w:sz w:val="17"/>
                <w:szCs w:val="17"/>
              </w:rPr>
              <w:t xml:space="preserve">import * as SecureStore from 'expo-secure-store';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async function saveTokens(access: string, refresh: string) {</w:t>
            </w:r>
          </w:p>
          <w:p>
            <w:pPr>
              <w:spacing w:after="0" w:line="240"/>
            </w:pPr>
            <w:r>
              <w:rPr>
                <w:rFonts w:ascii="Consolas" w:cs="Consolas" w:eastAsia="Consolas" w:hAnsi="Consolas"/>
                <w:sz w:val="17"/>
                <w:szCs w:val="17"/>
              </w:rPr>
              <w:t xml:space="preserve">  await SecureStore.setItemAsync('access_token', access);</w:t>
            </w:r>
          </w:p>
          <w:p>
            <w:pPr>
              <w:spacing w:after="0" w:line="240"/>
            </w:pPr>
            <w:r>
              <w:rPr>
                <w:rFonts w:ascii="Consolas" w:cs="Consolas" w:eastAsia="Consolas" w:hAnsi="Consolas"/>
                <w:sz w:val="17"/>
                <w:szCs w:val="17"/>
              </w:rPr>
              <w:t xml:space="preserve">  await SecureStore.setItemAsync('refresh_token', refresh);</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async function getAccessToken() {</w:t>
            </w:r>
          </w:p>
          <w:p>
            <w:pPr>
              <w:spacing w:after="0" w:line="240"/>
            </w:pPr>
            <w:r>
              <w:rPr>
                <w:rFonts w:ascii="Consolas" w:cs="Consolas" w:eastAsia="Consolas" w:hAnsi="Consolas"/>
                <w:sz w:val="17"/>
                <w:szCs w:val="17"/>
              </w:rPr>
              <w:t xml:space="preserve">  return SecureStore.getItemAsync('access_token');</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À la déconnexion ou perte → on purge le stockage sécurisé</w:t>
            </w:r>
          </w:p>
          <w:p>
            <w:pPr>
              <w:spacing w:after="0" w:line="240"/>
            </w:pPr>
            <w:r>
              <w:rPr>
                <w:rFonts w:ascii="Consolas" w:cs="Consolas" w:eastAsia="Consolas" w:hAnsi="Consolas"/>
                <w:sz w:val="17"/>
                <w:szCs w:val="17"/>
              </w:rPr>
              <w:t xml:space="preserve">export async function clearTokens() {</w:t>
            </w:r>
          </w:p>
          <w:p>
            <w:pPr>
              <w:spacing w:after="0" w:line="240"/>
            </w:pPr>
            <w:r>
              <w:rPr>
                <w:rFonts w:ascii="Consolas" w:cs="Consolas" w:eastAsia="Consolas" w:hAnsi="Consolas"/>
                <w:sz w:val="17"/>
                <w:szCs w:val="17"/>
              </w:rPr>
              <w:t xml:space="preserve">  await SecureStore.deleteItemAsync('access_token');</w:t>
            </w:r>
          </w:p>
          <w:p>
            <w:pPr>
              <w:spacing w:after="0" w:line="240"/>
            </w:pPr>
            <w:r>
              <w:rPr>
                <w:rFonts w:ascii="Consolas" w:cs="Consolas" w:eastAsia="Consolas" w:hAnsi="Consolas"/>
                <w:sz w:val="17"/>
                <w:szCs w:val="17"/>
              </w:rPr>
              <w:t xml:space="preserve">  await SecureStore.deleteItemAsync('refresh_token');</w:t>
            </w:r>
          </w:p>
          <w:p>
            <w:pPr>
              <w:spacing w:after="0" w:line="240"/>
            </w:pPr>
            <w:r>
              <w:rPr>
                <w:rFonts w:ascii="Consolas" w:cs="Consolas" w:eastAsia="Consolas" w:hAnsi="Consolas"/>
                <w:sz w:val="17"/>
                <w:szCs w:val="17"/>
              </w:rPr>
              <w:t xml:space="preserve">}</w:t>
            </w:r>
          </w:p>
        </w:tc>
      </w:tr>
    </w:tbl>
    <w:p>
      <w:pPr>
        <w:spacing w:after="120"/>
      </w:pPr>
    </w:p>
    <w:p>
      <w:r>
        <w:br w:type="page"/>
      </w:r>
    </w:p>
    <w:p>
      <w:pPr>
        <w:pStyle w:val="Heading1"/>
      </w:pPr>
      <w:r>
        <w:t xml:space="preserve">4. Autorisation et contrôle d'accès (RBAC)</w:t>
      </w:r>
    </w:p>
    <w:p>
      <w:pPr>
        <w:spacing w:after="120" w:line="276"/>
        <w:jc w:val="both"/>
      </w:pPr>
      <w:r>
        <w:t xml:space="preserve">L'authentification répond à « qui es-tu ? » ; l'autorisation répond à « qu'as-tu le droit de faire ? ». IVOIRSANTÉ comporte deux univers d'autorisation distincts : les </w:t>
      </w:r>
      <w:r>
        <w:rPr>
          <w:b/>
          <w:bCs/>
        </w:rPr>
        <w:t xml:space="preserve">rôles du portail hospitalier</w:t>
      </w:r>
      <w:r>
        <w:t xml:space="preserve"> (3 niveaux) et les </w:t>
      </w:r>
      <w:r>
        <w:rPr>
          <w:b/>
          <w:bCs/>
        </w:rPr>
        <w:t xml:space="preserve">règles d'accès au dossier médical</w:t>
      </w:r>
      <w:r>
        <w:t xml:space="preserve">.</w:t>
      </w:r>
    </w:p>
    <w:p>
      <w:pPr>
        <w:pStyle w:val="Heading2"/>
      </w:pPr>
      <w:r>
        <w:t xml:space="preserve">4.1 Les trois niveaux du portail (RBAC)</w:t>
      </w:r>
    </w:p>
    <w:p>
      <w:pPr>
        <w:spacing w:after="120" w:line="276"/>
        <w:jc w:val="both"/>
      </w:pPr>
      <w:r>
        <w:t xml:space="preserve">On utilise le package de référence </w:t>
      </w:r>
      <w:r>
        <w:rPr>
          <w:b/>
          <w:bCs/>
        </w:rPr>
        <w:t xml:space="preserve">spatie/laravel-permission</w:t>
      </w:r>
      <w:r>
        <w:t xml:space="preserve"> pour gérer rôles et permissions proprement, plutôt qu'un champ </w:t>
      </w:r>
      <w:r>
        <w:rPr>
          <w:rFonts w:ascii="Consolas" w:cs="Consolas" w:eastAsia="Consolas" w:hAnsi="Consolas"/>
          <w:sz w:val="18"/>
          <w:szCs w:val="18"/>
        </w:rPr>
        <w:t xml:space="preserve">role</w:t>
      </w:r>
      <w:r>
        <w:t xml:space="preserve"> géré à la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rPr>
          <w:tblHeader/>
        </w:trPr>
        <w:tc>
          <w:tcPr>
            <w:tcW w:type="dxa" w:w="2600"/>
            <w:tcBorders>
              <w:top w:val="single" w:color="BFCDD0" w:sz="1"/>
              <w:left w:val="single" w:color="BFCDD0" w:sz="1"/>
              <w:bottom w:val="single" w:color="BFCDD0" w:sz="1"/>
              <w:right w:val="single" w:color="BFCDD0" w:sz="1"/>
            </w:tcBorders>
            <w:shd w:fill="0F5C6B" w:val="clear"/>
            <w:tcMar>
              <w:top w:type="dxa" w:w="70"/>
              <w:left w:type="dxa" w:w="110"/>
              <w:bottom w:type="dxa" w:w="70"/>
              <w:right w:type="dxa" w:w="110"/>
            </w:tcMar>
            <w:vAlign w:val="center"/>
          </w:tcPr>
          <w:p>
            <w:pPr>
              <w:spacing w:after="0" w:line="252"/>
              <w:jc w:val="left"/>
            </w:pPr>
            <w:r>
              <w:rPr>
                <w:b/>
                <w:bCs/>
                <w:color w:val="FFFFFF"/>
                <w:sz w:val="19"/>
                <w:szCs w:val="19"/>
              </w:rPr>
              <w:t xml:space="preserve">Rôle</w:t>
            </w:r>
          </w:p>
        </w:tc>
        <w:tc>
          <w:tcPr>
            <w:tcW w:type="dxa" w:w="4100"/>
            <w:tcBorders>
              <w:top w:val="single" w:color="BFCDD0" w:sz="1"/>
              <w:left w:val="single" w:color="BFCDD0" w:sz="1"/>
              <w:bottom w:val="single" w:color="BFCDD0" w:sz="1"/>
              <w:right w:val="single" w:color="BFCDD0" w:sz="1"/>
            </w:tcBorders>
            <w:shd w:fill="0F5C6B" w:val="clear"/>
            <w:tcMar>
              <w:top w:type="dxa" w:w="70"/>
              <w:left w:type="dxa" w:w="110"/>
              <w:bottom w:type="dxa" w:w="70"/>
              <w:right w:type="dxa" w:w="110"/>
            </w:tcMar>
            <w:vAlign w:val="center"/>
          </w:tcPr>
          <w:p>
            <w:pPr>
              <w:spacing w:after="0" w:line="252"/>
              <w:jc w:val="left"/>
            </w:pPr>
            <w:r>
              <w:rPr>
                <w:b/>
                <w:bCs/>
                <w:color w:val="FFFFFF"/>
                <w:sz w:val="19"/>
                <w:szCs w:val="19"/>
              </w:rPr>
              <w:t xml:space="preserve">Permissions</w:t>
            </w:r>
          </w:p>
        </w:tc>
        <w:tc>
          <w:tcPr>
            <w:tcW w:type="dxa" w:w="2660"/>
            <w:tcBorders>
              <w:top w:val="single" w:color="BFCDD0" w:sz="1"/>
              <w:left w:val="single" w:color="BFCDD0" w:sz="1"/>
              <w:bottom w:val="single" w:color="BFCDD0" w:sz="1"/>
              <w:right w:val="single" w:color="BFCDD0" w:sz="1"/>
            </w:tcBorders>
            <w:shd w:fill="0F5C6B" w:val="clear"/>
            <w:tcMar>
              <w:top w:type="dxa" w:w="70"/>
              <w:left w:type="dxa" w:w="110"/>
              <w:bottom w:type="dxa" w:w="70"/>
              <w:right w:type="dxa" w:w="110"/>
            </w:tcMar>
            <w:vAlign w:val="center"/>
          </w:tcPr>
          <w:p>
            <w:pPr>
              <w:spacing w:after="0" w:line="252"/>
              <w:jc w:val="left"/>
            </w:pPr>
            <w:r>
              <w:rPr>
                <w:b/>
                <w:bCs/>
                <w:color w:val="FFFFFF"/>
                <w:sz w:val="19"/>
                <w:szCs w:val="19"/>
              </w:rPr>
              <w:t xml:space="preserve">Restriction (moindre privilège)</w:t>
            </w:r>
          </w:p>
        </w:tc>
      </w:tr>
      <w:tr>
        <w:tc>
          <w:tcPr>
            <w:tcW w:type="dxa" w:w="26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admin_ivoirsante</w:t>
            </w:r>
          </w:p>
        </w:tc>
        <w:tc>
          <w:tcPr>
            <w:tcW w:type="dxa" w:w="41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Tout : créer établissements, gérer comptes, modérer</w:t>
            </w:r>
          </w:p>
        </w:tc>
        <w:tc>
          <w:tcPr>
            <w:tcW w:type="dxa" w:w="266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Aucune</w:t>
            </w:r>
          </w:p>
        </w:tc>
      </w:tr>
      <w:tr>
        <w:tc>
          <w:tcPr>
            <w:tcW w:type="dxa" w:w="26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gestionnaire_etablissement</w:t>
            </w:r>
          </w:p>
        </w:tc>
        <w:tc>
          <w:tcPr>
            <w:tcW w:type="dxa" w:w="41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Gérer SES services et agents, voir SES statistiques</w:t>
            </w:r>
          </w:p>
        </w:tc>
        <w:tc>
          <w:tcPr>
            <w:tcW w:type="dxa" w:w="266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Ne voit aucun autre établissement</w:t>
            </w:r>
          </w:p>
        </w:tc>
      </w:tr>
      <w:tr>
        <w:tc>
          <w:tcPr>
            <w:tcW w:type="dxa" w:w="26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agent_garde</w:t>
            </w:r>
          </w:p>
        </w:tc>
        <w:tc>
          <w:tcPr>
            <w:tcW w:type="dxa" w:w="41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MAJ disponibilité, valider RDV, scanner QR de SON service</w:t>
            </w:r>
          </w:p>
        </w:tc>
        <w:tc>
          <w:tcPr>
            <w:tcW w:type="dxa" w:w="266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Limité à son service uniquement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0" w:sz="1"/>
              <w:left w:val="single" w:color="1B7A8C" w:sz="18"/>
              <w:bottom w:val="single" w:color="D9DEE0" w:sz="1"/>
              <w:right w:val="single" w:color="D9DEE0" w:sz="1"/>
            </w:tcBorders>
            <w:shd w:fill="F4F6F7"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composer require spatie/laravel-permission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Définition des permissions (seeder)</w:t>
            </w:r>
          </w:p>
          <w:p>
            <w:pPr>
              <w:spacing w:after="0" w:line="240"/>
            </w:pPr>
            <w:r>
              <w:rPr>
                <w:rFonts w:ascii="Consolas" w:cs="Consolas" w:eastAsia="Consolas" w:hAnsi="Consolas"/>
                <w:sz w:val="17"/>
                <w:szCs w:val="17"/>
              </w:rPr>
              <w:t xml:space="preserve">Permission::create(['name' =&gt; 'etablissement.create']);</w:t>
            </w:r>
          </w:p>
          <w:p>
            <w:pPr>
              <w:spacing w:after="0" w:line="240"/>
            </w:pPr>
            <w:r>
              <w:rPr>
                <w:rFonts w:ascii="Consolas" w:cs="Consolas" w:eastAsia="Consolas" w:hAnsi="Consolas"/>
                <w:sz w:val="17"/>
                <w:szCs w:val="17"/>
              </w:rPr>
              <w:t xml:space="preserve">Permission::create(['name' =&gt; 'service.manage']);</w:t>
            </w:r>
          </w:p>
          <w:p>
            <w:pPr>
              <w:spacing w:after="0" w:line="240"/>
            </w:pPr>
            <w:r>
              <w:rPr>
                <w:rFonts w:ascii="Consolas" w:cs="Consolas" w:eastAsia="Consolas" w:hAnsi="Consolas"/>
                <w:sz w:val="17"/>
                <w:szCs w:val="17"/>
              </w:rPr>
              <w:t xml:space="preserve">Permission::create(['name' =&gt; 'rdv.validate']);</w:t>
            </w:r>
          </w:p>
          <w:p>
            <w:pPr>
              <w:spacing w:after="0" w:line="240"/>
            </w:pPr>
            <w:r>
              <w:rPr>
                <w:rFonts w:ascii="Consolas" w:cs="Consolas" w:eastAsia="Consolas" w:hAnsi="Consolas"/>
                <w:sz w:val="17"/>
                <w:szCs w:val="17"/>
              </w:rPr>
              <w:t xml:space="preserve">Permission::create(['name' =&gt; 'qr.scan']);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$gestionnaire = Role::create(['name' =&gt; 'gestionnaire_etablissement']);</w:t>
            </w:r>
          </w:p>
          <w:p>
            <w:pPr>
              <w:spacing w:after="0" w:line="240"/>
            </w:pPr>
            <w:r>
              <w:rPr>
                <w:rFonts w:ascii="Consolas" w:cs="Consolas" w:eastAsia="Consolas" w:hAnsi="Consolas"/>
                <w:sz w:val="17"/>
                <w:szCs w:val="17"/>
              </w:rPr>
              <w:t xml:space="preserve">$gestionnaire-&gt;givePermissionTo(['service.manage', 'rdv.validate']);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$agent = Role::create(['name' =&gt; 'agent_garde']);</w:t>
            </w:r>
          </w:p>
          <w:p>
            <w:pPr>
              <w:spacing w:after="0" w:line="240"/>
            </w:pPr>
            <w:r>
              <w:rPr>
                <w:rFonts w:ascii="Consolas" w:cs="Consolas" w:eastAsia="Consolas" w:hAnsi="Consolas"/>
                <w:sz w:val="17"/>
                <w:szCs w:val="17"/>
              </w:rPr>
              <w:t xml:space="preserve">$agent-&gt;givePermissionTo(['rdv.validate', 'qr.scan']);</w:t>
            </w:r>
          </w:p>
        </w:tc>
      </w:tr>
    </w:tbl>
    <w:p>
      <w:pPr>
        <w:spacing w:after="120"/>
      </w:pPr>
    </w:p>
    <w:p>
      <w:pPr>
        <w:pStyle w:val="Heading2"/>
      </w:pPr>
      <w:r>
        <w:t xml:space="preserve">4.2 Protection des routes par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0" w:sz="1"/>
              <w:left w:val="single" w:color="1B7A8C" w:sz="18"/>
              <w:bottom w:val="single" w:color="D9DEE0" w:sz="1"/>
              <w:right w:val="single" w:color="D9DEE0" w:sz="1"/>
            </w:tcBorders>
            <w:shd w:fill="F4F6F7"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routes/api.php</w:t>
            </w:r>
          </w:p>
          <w:p>
            <w:pPr>
              <w:spacing w:after="0" w:line="240"/>
            </w:pPr>
            <w:r>
              <w:rPr>
                <w:rFonts w:ascii="Consolas" w:cs="Consolas" w:eastAsia="Consolas" w:hAnsi="Consolas"/>
                <w:sz w:val="17"/>
                <w:szCs w:val="17"/>
              </w:rPr>
              <w:t xml:space="preserve">Route::middleware(['auth:api', 'role:gestionnaire_etablissement'])</w:t>
            </w:r>
          </w:p>
          <w:p>
            <w:pPr>
              <w:spacing w:after="0" w:line="240"/>
            </w:pPr>
            <w:r>
              <w:rPr>
                <w:rFonts w:ascii="Consolas" w:cs="Consolas" w:eastAsia="Consolas" w:hAnsi="Consolas"/>
                <w:sz w:val="17"/>
                <w:szCs w:val="17"/>
              </w:rPr>
              <w:t xml:space="preserve">    -&gt;group(function () {</w:t>
            </w:r>
          </w:p>
          <w:p>
            <w:pPr>
              <w:spacing w:after="0" w:line="240"/>
            </w:pPr>
            <w:r>
              <w:rPr>
                <w:rFonts w:ascii="Consolas" w:cs="Consolas" w:eastAsia="Consolas" w:hAnsi="Consolas"/>
                <w:sz w:val="17"/>
                <w:szCs w:val="17"/>
              </w:rPr>
              <w:t xml:space="preserve">        Route::post('/services', [ServiceController::class, 'store']);</w:t>
            </w:r>
          </w:p>
          <w:p>
            <w:pPr>
              <w:spacing w:after="0" w:line="240"/>
            </w:pPr>
            <w:r>
              <w:rPr>
                <w:rFonts w:ascii="Consolas" w:cs="Consolas" w:eastAsia="Consolas" w:hAnsi="Consolas"/>
                <w:sz w:val="17"/>
                <w:szCs w:val="17"/>
              </w:rPr>
              <w:t xml:space="preserve">        Route::post('/agents',   [AgentController::class, 'store']);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Route::middleware(['auth:api', 'permission:qr.scan'])</w:t>
            </w:r>
          </w:p>
          <w:p>
            <w:pPr>
              <w:spacing w:after="0" w:line="240"/>
            </w:pPr>
            <w:r>
              <w:rPr>
                <w:rFonts w:ascii="Consolas" w:cs="Consolas" w:eastAsia="Consolas" w:hAnsi="Consolas"/>
                <w:sz w:val="17"/>
                <w:szCs w:val="17"/>
              </w:rPr>
              <w:t xml:space="preserve">    -&gt;post('/qr/scanner', [QrController::class, 'scan']);</w:t>
            </w:r>
          </w:p>
        </w:tc>
      </w:tr>
    </w:tbl>
    <w:p>
      <w:pPr>
        <w:spacing w:after="120"/>
      </w:pPr>
    </w:p>
    <w:p>
      <w:pPr>
        <w:pStyle w:val="Heading2"/>
      </w:pPr>
      <w:r>
        <w:t xml:space="preserve">4.3 Cloisonnement des données : la Policy</w:t>
      </w:r>
    </w:p>
    <w:p>
      <w:pPr>
        <w:spacing w:after="120" w:line="276"/>
        <w:jc w:val="both"/>
      </w:pPr>
      <w:r>
        <w:t xml:space="preserve">Le middleware vérifie le rôle, mais pas l'appartenance. Un gestionnaire de l'hôpital A ne doit pas modifier un service de l'hôpital B, même si les deux sont gestionnaires. C'est le rôle d'une </w:t>
      </w:r>
      <w:r>
        <w:rPr>
          <w:b/>
          <w:bCs/>
        </w:rPr>
        <w:t xml:space="preserve">Policy</w:t>
      </w:r>
      <w:r>
        <w:t xml:space="preserve"> Laravel.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0" w:sz="1"/>
              <w:left w:val="single" w:color="1B7A8C" w:sz="18"/>
              <w:bottom w:val="single" w:color="D9DEE0" w:sz="1"/>
              <w:right w:val="single" w:color="D9DEE0" w:sz="1"/>
            </w:tcBorders>
            <w:shd w:fill="F4F6F7"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app/Policies/ServicePolicy.php</w:t>
            </w:r>
          </w:p>
          <w:p>
            <w:pPr>
              <w:spacing w:after="0" w:line="240"/>
            </w:pPr>
            <w:r>
              <w:rPr>
                <w:rFonts w:ascii="Consolas" w:cs="Consolas" w:eastAsia="Consolas" w:hAnsi="Consolas"/>
                <w:sz w:val="17"/>
                <w:szCs w:val="17"/>
              </w:rPr>
              <w:t xml:space="preserve">public function update(AgentGarde $agent, Service $service): bool</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 un gestionnaire n'agit que dans SON établissement</w:t>
            </w:r>
          </w:p>
          <w:p>
            <w:pPr>
              <w:spacing w:after="0" w:line="240"/>
            </w:pPr>
            <w:r>
              <w:rPr>
                <w:rFonts w:ascii="Consolas" w:cs="Consolas" w:eastAsia="Consolas" w:hAnsi="Consolas"/>
                <w:sz w:val="17"/>
                <w:szCs w:val="17"/>
              </w:rPr>
              <w:t xml:space="preserve">    return $agent-&gt;hasRole('admin_ivoirsante')</w:t>
            </w:r>
          </w:p>
          <w:p>
            <w:pPr>
              <w:spacing w:after="0" w:line="240"/>
            </w:pPr>
            <w:r>
              <w:rPr>
                <w:rFonts w:ascii="Consolas" w:cs="Consolas" w:eastAsia="Consolas" w:hAnsi="Consolas"/>
                <w:sz w:val="17"/>
                <w:szCs w:val="17"/>
              </w:rPr>
              <w:t xml:space="preserve">        || $agent-&gt;structure_id === $service-&gt;structure_id;</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Dans le contrôleur</w:t>
            </w:r>
          </w:p>
          <w:p>
            <w:pPr>
              <w:spacing w:after="0" w:line="240"/>
            </w:pPr>
            <w:r>
              <w:rPr>
                <w:rFonts w:ascii="Consolas" w:cs="Consolas" w:eastAsia="Consolas" w:hAnsi="Consolas"/>
                <w:sz w:val="17"/>
                <w:szCs w:val="17"/>
              </w:rPr>
              <w:t xml:space="preserve">$this-&gt;authorize('update', $service); // 403 si non autorisé</w:t>
            </w:r>
          </w:p>
        </w:tc>
      </w:tr>
    </w:tbl>
    <w:p>
      <w:pPr>
        <w:spacing w:after="160" w:before="60"/>
      </w:pPr>
      <w:r>
        <w:rPr>
          <w:i/>
          <w:iCs/>
          <w:color w:val="5A6B6F"/>
          <w:sz w:val="17"/>
          <w:szCs w:val="17"/>
        </w:rPr>
        <w:t xml:space="preserve">Sans cette Policy, on aurait une faille d'« accès direct à un objet non autorisé » (IDOR), n°1 de l'OWASP Top 10 (Broken Access Control).</w:t>
      </w:r>
    </w:p>
    <w:p>
      <w:pPr>
        <w:pStyle w:val="Heading2"/>
      </w:pPr>
      <w:r>
        <w:t xml:space="preserve">4.4 Règle d'accès au dossier médical</w:t>
      </w:r>
    </w:p>
    <w:p>
      <w:pPr>
        <w:spacing w:after="120" w:line="276"/>
        <w:jc w:val="both"/>
      </w:pPr>
      <w:r>
        <w:t xml:space="preserve">L'accès à un dossier (le plus sensible) n'est ouvert que par trois voies strictement contrôlées, chacune tracée dans le journal d'audit :</w:t>
      </w:r>
    </w:p>
    <w:p>
      <w:pPr>
        <w:pStyle w:val="ListParagraph"/>
        <w:numPr>
          <w:ilvl w:val="0"/>
          <w:numId w:val="3"/>
        </w:numPr>
        <w:spacing w:after="80" w:line="268"/>
        <w:jc w:val="both"/>
      </w:pPr>
      <w:r>
        <w:rPr>
          <w:b/>
          <w:bCs/>
        </w:rPr>
        <w:t xml:space="preserve">Scan QR (qr_scan) — </w:t>
      </w:r>
      <w:r>
        <w:t xml:space="preserve">accès temporaire de 30 min, ouvert par un token QR valide à usage unique (chapitre 5).</w:t>
      </w:r>
    </w:p>
    <w:p>
      <w:pPr>
        <w:pStyle w:val="ListParagraph"/>
        <w:numPr>
          <w:ilvl w:val="0"/>
          <w:numId w:val="3"/>
        </w:numPr>
        <w:spacing w:after="80" w:line="268"/>
        <w:jc w:val="both"/>
      </w:pPr>
      <w:r>
        <w:rPr>
          <w:b/>
          <w:bCs/>
        </w:rPr>
        <w:t xml:space="preserve">Médecin référent (referent) — </w:t>
      </w:r>
      <w:r>
        <w:t xml:space="preserve">accès permanent, désigné explicitement par le patient et </w:t>
      </w:r>
      <w:r>
        <w:rPr>
          <w:b/>
          <w:bCs/>
        </w:rPr>
        <w:t xml:space="preserve">révocable à tout moment</w:t>
      </w:r>
      <w:r>
        <w:t xml:space="preserve">.</w:t>
      </w:r>
    </w:p>
    <w:p>
      <w:pPr>
        <w:pStyle w:val="ListParagraph"/>
        <w:numPr>
          <w:ilvl w:val="0"/>
          <w:numId w:val="3"/>
        </w:numPr>
        <w:spacing w:after="80" w:line="268"/>
        <w:jc w:val="both"/>
      </w:pPr>
      <w:r>
        <w:rPr>
          <w:b/>
          <w:bCs/>
        </w:rPr>
        <w:t xml:space="preserve">Administration (admin) — </w:t>
      </w:r>
      <w:r>
        <w:t xml:space="preserve">strictement réservé à l'admin IVOIRSANTÉ, exceptionnel et toujours audité.</w:t>
      </w:r>
    </w:p>
    <w:p>
      <w:r>
        <w:br w:type="page"/>
      </w:r>
    </w:p>
    <w:p>
      <w:pPr>
        <w:pStyle w:val="Heading1"/>
      </w:pPr>
      <w:r>
        <w:t xml:space="preserve">5. Système QR Code dynamique sécurisé (cœur du projet)</w:t>
      </w:r>
    </w:p>
    <w:p>
      <w:pPr>
        <w:spacing w:after="120" w:line="276"/>
        <w:jc w:val="both"/>
      </w:pPr>
      <w:r>
        <w:t xml:space="preserve">C'est l'élément différenciateur d'IVOIRSANTÉ et le point que le jury examinera le plus. L'enjeu : permettre à un soignant d'ouvrir un dossier sans jamais exposer le matricule permanent, et sans qu'un QR capturé puisse être réutilisé.</w:t>
      </w:r>
    </w:p>
    <w:p>
      <w:pPr>
        <w:pStyle w:val="Heading2"/>
      </w:pPr>
      <w:r>
        <w:t xml:space="preserve">5.1 Principe : un token TOTP à usage unique</w:t>
      </w:r>
    </w:p>
    <w:p>
      <w:pPr>
        <w:pStyle w:val="ListParagraph"/>
        <w:numPr>
          <w:ilvl w:val="0"/>
          <w:numId w:val="2"/>
        </w:numPr>
        <w:spacing w:after="80" w:line="268"/>
        <w:jc w:val="both"/>
      </w:pPr>
      <w:r>
        <w:rPr>
          <w:b/>
          <w:bCs/>
        </w:rPr>
        <w:t xml:space="preserve">Dynamique — </w:t>
      </w:r>
      <w:r>
        <w:t xml:space="preserve">un nouveau token à chaque génération ; deux QR ne sont jamais identiques.</w:t>
      </w:r>
    </w:p>
    <w:p>
      <w:pPr>
        <w:pStyle w:val="ListParagraph"/>
        <w:numPr>
          <w:ilvl w:val="0"/>
          <w:numId w:val="2"/>
        </w:numPr>
        <w:spacing w:after="80" w:line="268"/>
        <w:jc w:val="both"/>
      </w:pPr>
      <w:r>
        <w:rPr>
          <w:b/>
          <w:bCs/>
        </w:rPr>
        <w:t xml:space="preserve">Limité dans le temps — </w:t>
      </w:r>
      <w:r>
        <w:t xml:space="preserve">expiration 10 minutes après génération.</w:t>
      </w:r>
    </w:p>
    <w:p>
      <w:pPr>
        <w:pStyle w:val="ListParagraph"/>
        <w:numPr>
          <w:ilvl w:val="0"/>
          <w:numId w:val="2"/>
        </w:numPr>
        <w:spacing w:after="80" w:line="268"/>
        <w:jc w:val="both"/>
      </w:pPr>
      <w:r>
        <w:rPr>
          <w:b/>
          <w:bCs/>
        </w:rPr>
        <w:t xml:space="preserve">À usage unique — </w:t>
      </w:r>
      <w:r>
        <w:t xml:space="preserve">invalidé dès le premier scan : un rejeu échoue.</w:t>
      </w:r>
    </w:p>
    <w:p>
      <w:pPr>
        <w:pStyle w:val="ListParagraph"/>
        <w:numPr>
          <w:ilvl w:val="0"/>
          <w:numId w:val="2"/>
        </w:numPr>
        <w:spacing w:after="80" w:line="268"/>
        <w:jc w:val="both"/>
      </w:pPr>
      <w:r>
        <w:rPr>
          <w:b/>
          <w:bCs/>
        </w:rPr>
        <w:t xml:space="preserve">Sans secret exposé — </w:t>
      </w:r>
      <w:r>
        <w:t xml:space="preserve">le QR contient un identifiant opaque, jamais le matricule ni les données médicales.</w:t>
      </w:r>
    </w:p>
    <w:p>
      <w:pPr>
        <w:pStyle w:val="Heading2"/>
      </w:pPr>
      <w:r>
        <w:t xml:space="preserve">5.2 Structure du token (génération)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0" w:sz="1"/>
              <w:left w:val="single" w:color="1B7A8C" w:sz="18"/>
              <w:bottom w:val="single" w:color="D9DEE0" w:sz="1"/>
              <w:right w:val="single" w:color="D9DEE0" w:sz="1"/>
            </w:tcBorders>
            <w:shd w:fill="F4F6F7"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app/Services/QrTokenService.php</w:t>
            </w:r>
          </w:p>
          <w:p>
            <w:pPr>
              <w:spacing w:after="0" w:line="240"/>
            </w:pPr>
            <w:r>
              <w:rPr>
                <w:rFonts w:ascii="Consolas" w:cs="Consolas" w:eastAsia="Consolas" w:hAnsi="Consolas"/>
                <w:sz w:val="17"/>
                <w:szCs w:val="17"/>
              </w:rPr>
              <w:t xml:space="preserve">use Illuminate\Support\Str;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public function generate(int $membreId): array</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$uuid      = (string) Str::uuid();        // UUID v4 imprévisible</w:t>
            </w:r>
          </w:p>
          <w:p>
            <w:pPr>
              <w:spacing w:after="0" w:line="240"/>
            </w:pPr>
            <w:r>
              <w:rPr>
                <w:rFonts w:ascii="Consolas" w:cs="Consolas" w:eastAsia="Consolas" w:hAnsi="Consolas"/>
                <w:sz w:val="17"/>
                <w:szCs w:val="17"/>
              </w:rPr>
              <w:t xml:space="preserve">    $timestamp = now()-&gt;timestamp;</w:t>
            </w:r>
          </w:p>
          <w:p>
            <w:pPr>
              <w:spacing w:after="0" w:line="240"/>
            </w:pPr>
            <w:r>
              <w:rPr>
                <w:rFonts w:ascii="Consolas" w:cs="Consolas" w:eastAsia="Consolas" w:hAnsi="Consolas"/>
                <w:sz w:val="17"/>
                <w:szCs w:val="17"/>
              </w:rPr>
              <w:t xml:space="preserve">    $secret    = config('app.qr_secret');     // secret serveur (.env)</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signature HMAC-SHA256 : lie l'UUID, l'instant et le membre</w:t>
            </w:r>
          </w:p>
          <w:p>
            <w:pPr>
              <w:spacing w:after="0" w:line="240"/>
            </w:pPr>
            <w:r>
              <w:rPr>
                <w:rFonts w:ascii="Consolas" w:cs="Consolas" w:eastAsia="Consolas" w:hAnsi="Consolas"/>
                <w:sz w:val="17"/>
                <w:szCs w:val="17"/>
              </w:rPr>
              <w:t xml:space="preserve">    $payload   = $uuid.'|'.$timestamp.'|'.$membreId;</w:t>
            </w:r>
          </w:p>
          <w:p>
            <w:pPr>
              <w:spacing w:after="0" w:line="240"/>
            </w:pPr>
            <w:r>
              <w:rPr>
                <w:rFonts w:ascii="Consolas" w:cs="Consolas" w:eastAsia="Consolas" w:hAnsi="Consolas"/>
                <w:sz w:val="17"/>
                <w:szCs w:val="17"/>
              </w:rPr>
              <w:t xml:space="preserve">    $signature = hash_hmac('sha256', $payload, $secret);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ce qui est RÉELLEMENT encodé dans le QR : un identifiant opaque</w:t>
            </w:r>
          </w:p>
          <w:p>
            <w:pPr>
              <w:spacing w:after="0" w:line="240"/>
            </w:pPr>
            <w:r>
              <w:rPr>
                <w:rFonts w:ascii="Consolas" w:cs="Consolas" w:eastAsia="Consolas" w:hAnsi="Consolas"/>
                <w:sz w:val="17"/>
                <w:szCs w:val="17"/>
              </w:rPr>
              <w:t xml:space="preserve">    $tokenPublic = $uuid.'.'.$signature;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TokenQr::create([</w:t>
            </w:r>
          </w:p>
          <w:p>
            <w:pPr>
              <w:spacing w:after="0" w:line="240"/>
            </w:pPr>
            <w:r>
              <w:rPr>
                <w:rFonts w:ascii="Consolas" w:cs="Consolas" w:eastAsia="Consolas" w:hAnsi="Consolas"/>
                <w:sz w:val="17"/>
                <w:szCs w:val="17"/>
              </w:rPr>
              <w:t xml:space="preserve">        'membre_id'  =&gt; $membreId,</w:t>
            </w:r>
          </w:p>
          <w:p>
            <w:pPr>
              <w:spacing w:after="0" w:line="240"/>
            </w:pPr>
            <w:r>
              <w:rPr>
                <w:rFonts w:ascii="Consolas" w:cs="Consolas" w:eastAsia="Consolas" w:hAnsi="Consolas"/>
                <w:sz w:val="17"/>
                <w:szCs w:val="17"/>
              </w:rPr>
              <w:t xml:space="preserve">        'token_hash' =&gt; hash('sha256', $tokenPublic), // on stocke un HASH</w:t>
            </w:r>
          </w:p>
          <w:p>
            <w:pPr>
              <w:spacing w:after="0" w:line="240"/>
            </w:pPr>
            <w:r>
              <w:rPr>
                <w:rFonts w:ascii="Consolas" w:cs="Consolas" w:eastAsia="Consolas" w:hAnsi="Consolas"/>
                <w:sz w:val="17"/>
                <w:szCs w:val="17"/>
              </w:rPr>
              <w:t xml:space="preserve">        'expires_at' =&gt; now()-&gt;addMinutes(10),</w:t>
            </w:r>
          </w:p>
          <w:p>
            <w:pPr>
              <w:spacing w:after="0" w:line="240"/>
            </w:pPr>
            <w:r>
              <w:rPr>
                <w:rFonts w:ascii="Consolas" w:cs="Consolas" w:eastAsia="Consolas" w:hAnsi="Consolas"/>
                <w:sz w:val="17"/>
                <w:szCs w:val="17"/>
              </w:rPr>
              <w:t xml:space="preserve">        'used_at'    =&gt; 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['qr' =&gt; $tokenPublic, 'expires_in' =&gt; 600];</w:t>
            </w:r>
          </w:p>
          <w:p>
            <w:pPr>
              <w:spacing w:after="0" w:line="240"/>
            </w:pPr>
            <w:r>
              <w:rPr>
                <w:rFonts w:ascii="Consolas" w:cs="Consolas" w:eastAsia="Consolas" w:hAnsi="Consolas"/>
                <w:sz w:val="17"/>
                <w:szCs w:val="17"/>
              </w:rPr>
              <w:t xml:space="preserve">}</w:t>
            </w:r>
          </w:p>
        </w:tc>
      </w:tr>
    </w:tbl>
    <w:p>
      <w:pPr>
        <w:spacing w:after="160" w:before="60"/>
      </w:pPr>
      <w:r>
        <w:rPr>
          <w:i/>
          <w:iCs/>
          <w:color w:val="5A6B6F"/>
          <w:sz w:val="17"/>
          <w:szCs w:val="17"/>
        </w:rPr>
        <w:t xml:space="preserve">On stocke le HASH du token, pas le token lui-même : même en cas de vol de la table tokens_qr, un attaquant ne peut pas reconstituer de QR valide.</w:t>
      </w:r>
    </w:p>
    <w:p>
      <w:pPr>
        <w:pStyle w:val="Heading2"/>
      </w:pPr>
      <w:r>
        <w:t xml:space="preserve">5.3 Validation au scan (le contrôle critique)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0" w:sz="1"/>
              <w:left w:val="single" w:color="1B7A8C" w:sz="18"/>
              <w:bottom w:val="single" w:color="D9DEE0" w:sz="1"/>
              <w:right w:val="single" w:color="D9DEE0" w:sz="1"/>
            </w:tcBorders>
            <w:shd w:fill="F4F6F7"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app/Services/QrTokenService.php</w:t>
            </w:r>
          </w:p>
          <w:p>
            <w:pPr>
              <w:spacing w:after="0" w:line="240"/>
            </w:pPr>
            <w:r>
              <w:rPr>
                <w:rFonts w:ascii="Consolas" w:cs="Consolas" w:eastAsia="Consolas" w:hAnsi="Consolas"/>
                <w:sz w:val="17"/>
                <w:szCs w:val="17"/>
              </w:rPr>
              <w:t xml:space="preserve">public function validateAndConsume(string $tokenPublic, AgentGarde $agent)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$hash = hash('sha256', $tokenPublic);</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transaction + verrou pour empêcher un double scan simultané</w:t>
            </w:r>
          </w:p>
          <w:p>
            <w:pPr>
              <w:spacing w:after="0" w:line="240"/>
            </w:pPr>
            <w:r>
              <w:rPr>
                <w:rFonts w:ascii="Consolas" w:cs="Consolas" w:eastAsia="Consolas" w:hAnsi="Consolas"/>
                <w:sz w:val="17"/>
                <w:szCs w:val="17"/>
              </w:rPr>
              <w:t xml:space="preserve">    return DB::transaction(function () use ($hash, $agent) {</w:t>
            </w:r>
          </w:p>
          <w:p>
            <w:pPr>
              <w:spacing w:after="0" w:line="240"/>
            </w:pPr>
            <w:r>
              <w:rPr>
                <w:rFonts w:ascii="Consolas" w:cs="Consolas" w:eastAsia="Consolas" w:hAnsi="Consolas"/>
                <w:sz w:val="17"/>
                <w:szCs w:val="17"/>
              </w:rPr>
              <w:t xml:space="preserve">        $token = TokenQr::where('token_hash', $hash)</w:t>
            </w:r>
          </w:p>
          <w:p>
            <w:pPr>
              <w:spacing w:after="0" w:line="240"/>
            </w:pPr>
            <w:r>
              <w:rPr>
                <w:rFonts w:ascii="Consolas" w:cs="Consolas" w:eastAsia="Consolas" w:hAnsi="Consolas"/>
                <w:sz w:val="17"/>
                <w:szCs w:val="17"/>
              </w:rPr>
              <w:t xml:space="preserve">                        -&gt;lockForUpdate()        // verrou pessimiste</w:t>
            </w:r>
          </w:p>
          <w:p>
            <w:pPr>
              <w:spacing w:after="0" w:line="240"/>
            </w:pPr>
            <w:r>
              <w:rPr>
                <w:rFonts w:ascii="Consolas" w:cs="Consolas" w:eastAsia="Consolas" w:hAnsi="Consolas"/>
                <w:sz w:val="17"/>
                <w:szCs w:val="17"/>
              </w:rPr>
              <w:t xml:space="preserve">                        -&gt;first();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(!$token)                 abort(404, 'QR invalide');</w:t>
            </w:r>
          </w:p>
          <w:p>
            <w:pPr>
              <w:spacing w:after="0" w:line="240"/>
            </w:pPr>
            <w:r>
              <w:rPr>
                <w:rFonts w:ascii="Consolas" w:cs="Consolas" w:eastAsia="Consolas" w:hAnsi="Consolas"/>
                <w:sz w:val="17"/>
                <w:szCs w:val="17"/>
              </w:rPr>
              <w:t xml:space="preserve">        if ($token-&gt;used_at)         abort(409, 'QR déjà utilisé');</w:t>
            </w:r>
          </w:p>
          <w:p>
            <w:pPr>
              <w:spacing w:after="0" w:line="240"/>
            </w:pPr>
            <w:r>
              <w:rPr>
                <w:rFonts w:ascii="Consolas" w:cs="Consolas" w:eastAsia="Consolas" w:hAnsi="Consolas"/>
                <w:sz w:val="17"/>
                <w:szCs w:val="17"/>
              </w:rPr>
              <w:t xml:space="preserve">        if ($token-&gt;expires_at-&gt;isPast()) abort(410, 'QR expiré');</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consommation : usage unique garanti</w:t>
            </w:r>
          </w:p>
          <w:p>
            <w:pPr>
              <w:spacing w:after="0" w:line="240"/>
            </w:pPr>
            <w:r>
              <w:rPr>
                <w:rFonts w:ascii="Consolas" w:cs="Consolas" w:eastAsia="Consolas" w:hAnsi="Consolas"/>
                <w:sz w:val="17"/>
                <w:szCs w:val="17"/>
              </w:rPr>
              <w:t xml:space="preserve">        $token-&gt;update([</w:t>
            </w:r>
          </w:p>
          <w:p>
            <w:pPr>
              <w:spacing w:after="0" w:line="240"/>
            </w:pPr>
            <w:r>
              <w:rPr>
                <w:rFonts w:ascii="Consolas" w:cs="Consolas" w:eastAsia="Consolas" w:hAnsi="Consolas"/>
                <w:sz w:val="17"/>
                <w:szCs w:val="17"/>
              </w:rPr>
              <w:t xml:space="preserve">            'used_at'             =&gt; now(),</w:t>
            </w:r>
          </w:p>
          <w:p>
            <w:pPr>
              <w:spacing w:after="0" w:line="240"/>
            </w:pPr>
            <w:r>
              <w:rPr>
                <w:rFonts w:ascii="Consolas" w:cs="Consolas" w:eastAsia="Consolas" w:hAnsi="Consolas"/>
                <w:sz w:val="17"/>
                <w:szCs w:val="17"/>
              </w:rPr>
              <w:t xml:space="preserve">            'used_by_agent_id'    =&gt; $agent-&gt;id,</w:t>
            </w:r>
          </w:p>
          <w:p>
            <w:pPr>
              <w:spacing w:after="0" w:line="240"/>
            </w:pPr>
            <w:r>
              <w:rPr>
                <w:rFonts w:ascii="Consolas" w:cs="Consolas" w:eastAsia="Consolas" w:hAnsi="Consolas"/>
                <w:sz w:val="17"/>
                <w:szCs w:val="17"/>
              </w:rPr>
              <w:t xml:space="preserve">            'used_by_etablissement' =&gt; $agent-&gt;structure-&gt;nom,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1) écriture du journal d'audit (cf. chapitre 10)</w:t>
            </w:r>
          </w:p>
          <w:p>
            <w:pPr>
              <w:spacing w:after="0" w:line="240"/>
            </w:pPr>
            <w:r>
              <w:rPr>
                <w:rFonts w:ascii="Consolas" w:cs="Consolas" w:eastAsia="Consolas" w:hAnsi="Consolas"/>
                <w:sz w:val="17"/>
                <w:szCs w:val="17"/>
              </w:rPr>
              <w:t xml:space="preserve">        // 2) notification push au patient (cf. chapitre 11)</w:t>
            </w:r>
          </w:p>
          <w:p>
            <w:pPr>
              <w:spacing w:after="0" w:line="240"/>
            </w:pPr>
            <w:r>
              <w:rPr>
                <w:rFonts w:ascii="Consolas" w:cs="Consolas" w:eastAsia="Consolas" w:hAnsi="Consolas"/>
                <w:sz w:val="17"/>
                <w:szCs w:val="17"/>
              </w:rPr>
              <w:t xml:space="preserve">        // 3) ouverture d'une session dossier de 30 min</w:t>
            </w:r>
          </w:p>
          <w:p>
            <w:pPr>
              <w:spacing w:after="0" w:line="240"/>
            </w:pPr>
            <w:r>
              <w:rPr>
                <w:rFonts w:ascii="Consolas" w:cs="Consolas" w:eastAsia="Consolas" w:hAnsi="Consolas"/>
                <w:sz w:val="17"/>
                <w:szCs w:val="17"/>
              </w:rPr>
              <w:t xml:space="preserve">        return $token-&gt;membre;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tc>
      </w:tr>
    </w:tbl>
    <w:p>
      <w:pPr>
        <w:spacing w:after="160" w:before="60"/>
      </w:pPr>
      <w:r>
        <w:rPr>
          <w:i/>
          <w:iCs/>
          <w:color w:val="5A6B6F"/>
          <w:sz w:val="17"/>
          <w:szCs w:val="17"/>
        </w:rPr>
        <w:t xml:space="preserve">Le verrou lockForUpdate() neutralise l'attaque par « double scan » concurrent : deux requêtes simultanées ne peuvent pas consommer le même token.</w:t>
      </w:r>
    </w:p>
    <w:p>
      <w:pPr>
        <w:pStyle w:val="Heading2"/>
      </w:pPr>
      <w:r>
        <w:t xml:space="preserve">5.4 Cycle complet et défenses associées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BFCDD0" w:sz="1"/>
              <w:left w:val="single" w:color="BFCDD0" w:sz="1"/>
              <w:bottom w:val="single" w:color="BFCDD0" w:sz="1"/>
              <w:right w:val="single" w:color="BFCDD0" w:sz="1"/>
            </w:tcBorders>
            <w:shd w:fill="0F5C6B" w:val="clear"/>
            <w:tcMar>
              <w:top w:type="dxa" w:w="70"/>
              <w:left w:type="dxa" w:w="110"/>
              <w:bottom w:type="dxa" w:w="70"/>
              <w:right w:type="dxa" w:w="110"/>
            </w:tcMar>
            <w:vAlign w:val="center"/>
          </w:tcPr>
          <w:p>
            <w:pPr>
              <w:spacing w:after="0" w:line="252"/>
              <w:jc w:val="left"/>
            </w:pPr>
            <w:r>
              <w:rPr>
                <w:b/>
                <w:bCs/>
                <w:color w:val="FFFFFF"/>
                <w:sz w:val="19"/>
                <w:szCs w:val="19"/>
              </w:rPr>
              <w:t xml:space="preserve">Étape</w:t>
            </w:r>
          </w:p>
        </w:tc>
        <w:tc>
          <w:tcPr>
            <w:tcW w:type="dxa" w:w="3600"/>
            <w:tcBorders>
              <w:top w:val="single" w:color="BFCDD0" w:sz="1"/>
              <w:left w:val="single" w:color="BFCDD0" w:sz="1"/>
              <w:bottom w:val="single" w:color="BFCDD0" w:sz="1"/>
              <w:right w:val="single" w:color="BFCDD0" w:sz="1"/>
            </w:tcBorders>
            <w:shd w:fill="0F5C6B" w:val="clear"/>
            <w:tcMar>
              <w:top w:type="dxa" w:w="70"/>
              <w:left w:type="dxa" w:w="110"/>
              <w:bottom w:type="dxa" w:w="70"/>
              <w:right w:type="dxa" w:w="110"/>
            </w:tcMar>
            <w:vAlign w:val="center"/>
          </w:tcPr>
          <w:p>
            <w:pPr>
              <w:spacing w:after="0" w:line="252"/>
              <w:jc w:val="left"/>
            </w:pPr>
            <w:r>
              <w:rPr>
                <w:b/>
                <w:bCs/>
                <w:color w:val="FFFFFF"/>
                <w:sz w:val="19"/>
                <w:szCs w:val="19"/>
              </w:rPr>
              <w:t xml:space="preserve">Sécurité</w:t>
            </w:r>
          </w:p>
        </w:tc>
        <w:tc>
          <w:tcPr>
            <w:tcW w:type="dxa" w:w="2760"/>
            <w:tcBorders>
              <w:top w:val="single" w:color="BFCDD0" w:sz="1"/>
              <w:left w:val="single" w:color="BFCDD0" w:sz="1"/>
              <w:bottom w:val="single" w:color="BFCDD0" w:sz="1"/>
              <w:right w:val="single" w:color="BFCDD0" w:sz="1"/>
            </w:tcBorders>
            <w:shd w:fill="0F5C6B" w:val="clear"/>
            <w:tcMar>
              <w:top w:type="dxa" w:w="70"/>
              <w:left w:type="dxa" w:w="110"/>
              <w:bottom w:type="dxa" w:w="70"/>
              <w:right w:type="dxa" w:w="110"/>
            </w:tcMar>
            <w:vAlign w:val="center"/>
          </w:tcPr>
          <w:p>
            <w:pPr>
              <w:spacing w:after="0" w:line="252"/>
              <w:jc w:val="left"/>
            </w:pPr>
            <w:r>
              <w:rPr>
                <w:b/>
                <w:bCs/>
                <w:color w:val="FFFFFF"/>
                <w:sz w:val="19"/>
                <w:szCs w:val="19"/>
              </w:rPr>
              <w:t xml:space="preserve">Menace neutralisée</w:t>
            </w:r>
          </w:p>
        </w:tc>
      </w:tr>
      <w:tr>
        <w:tc>
          <w:tcPr>
            <w:tcW w:type="dxa" w:w="30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Patient demande un QR</w:t>
            </w:r>
          </w:p>
        </w:tc>
        <w:tc>
          <w:tcPr>
            <w:tcW w:type="dxa" w:w="36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Token signé HMAC + expiration 10 min</w:t>
            </w:r>
          </w:p>
        </w:tc>
        <w:tc>
          <w:tcPr>
            <w:tcW w:type="dxa" w:w="276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Falsification de token</w:t>
            </w:r>
          </w:p>
        </w:tc>
      </w:tr>
      <w:tr>
        <w:tc>
          <w:tcPr>
            <w:tcW w:type="dxa" w:w="30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QR affiché (compte à rebours)</w:t>
            </w:r>
          </w:p>
        </w:tc>
        <w:tc>
          <w:tcPr>
            <w:tcW w:type="dxa" w:w="36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Matricule jamais affiché ni encodé</w:t>
            </w:r>
          </w:p>
        </w:tc>
        <w:tc>
          <w:tcPr>
            <w:tcW w:type="dxa" w:w="276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Fuite du matricule</w:t>
            </w:r>
          </w:p>
        </w:tc>
      </w:tr>
      <w:tr>
        <w:tc>
          <w:tcPr>
            <w:tcW w:type="dxa" w:w="30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Agent scanne</w:t>
            </w:r>
          </w:p>
        </w:tc>
        <w:tc>
          <w:tcPr>
            <w:tcW w:type="dxa" w:w="36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Vérif valide + non utilisé + non expiré</w:t>
            </w:r>
          </w:p>
        </w:tc>
        <w:tc>
          <w:tcPr>
            <w:tcW w:type="dxa" w:w="276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Rejeu / réutilisation</w:t>
            </w:r>
          </w:p>
        </w:tc>
      </w:tr>
      <w:tr>
        <w:tc>
          <w:tcPr>
            <w:tcW w:type="dxa" w:w="30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Accès accordé</w:t>
            </w:r>
          </w:p>
        </w:tc>
        <w:tc>
          <w:tcPr>
            <w:tcW w:type="dxa" w:w="36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Session limitée à 30 min</w:t>
            </w:r>
          </w:p>
        </w:tc>
        <w:tc>
          <w:tcPr>
            <w:tcW w:type="dxa" w:w="276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Accès persistant abusif</w:t>
            </w:r>
          </w:p>
        </w:tc>
      </w:tr>
      <w:tr>
        <w:tc>
          <w:tcPr>
            <w:tcW w:type="dxa" w:w="30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Patient notifié (push)</w:t>
            </w:r>
          </w:p>
        </w:tc>
        <w:tc>
          <w:tcPr>
            <w:tcW w:type="dxa" w:w="36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Qui, quand, quel hôpital</w:t>
            </w:r>
          </w:p>
        </w:tc>
        <w:tc>
          <w:tcPr>
            <w:tcW w:type="dxa" w:w="276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Accès non détecté</w:t>
            </w:r>
          </w:p>
        </w:tc>
      </w:tr>
      <w:tr>
        <w:tc>
          <w:tcPr>
            <w:tcW w:type="dxa" w:w="30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Tout est journalisé</w:t>
            </w:r>
          </w:p>
        </w:tc>
        <w:tc>
          <w:tcPr>
            <w:tcW w:type="dxa" w:w="36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Audit immuable</w:t>
            </w:r>
          </w:p>
        </w:tc>
        <w:tc>
          <w:tcPr>
            <w:tcW w:type="dxa" w:w="276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Répudiation (déni d'accès)</w:t>
            </w:r>
          </w:p>
        </w:tc>
      </w:tr>
    </w:tbl>
    <w:p>
      <w:pPr>
        <w:spacing w:after="120"/>
      </w:pPr>
    </w:p>
    <w:p>
      <w:pPr>
        <w:spacing w:after="120" w:line="276"/>
        <w:jc w:val="both"/>
      </w:pPr>
      <w:r>
        <w:rPr>
          <w:b/>
          <w:bCs/>
        </w:rPr>
        <w:t xml:space="preserve">Recommandation. </w:t>
      </w:r>
      <w:r>
        <w:t xml:space="preserve">Afficher un compte à rebours visible et régénérer le QR à l'écran toutes les 60 secondes (même token, anti-photo) renforce la protection contre la capture d'écran partagée. À noter en soutenance.</w:t>
      </w:r>
    </w:p>
    <w:p>
      <w:r>
        <w:br w:type="page"/>
      </w:r>
    </w:p>
    <w:p>
      <w:pPr>
        <w:pStyle w:val="Heading1"/>
      </w:pPr>
      <w:r>
        <w:t xml:space="preserve">6. Chiffrement des données médicales</w:t>
      </w:r>
    </w:p>
    <w:p>
      <w:pPr>
        <w:spacing w:after="120" w:line="276"/>
        <w:jc w:val="both"/>
      </w:pPr>
      <w:r>
        <w:t xml:space="preserve">Le chiffrement « au repos » protège les données même si la base est volée. IVOIRSANTÉ chiffre en </w:t>
      </w:r>
      <w:r>
        <w:rPr>
          <w:b/>
          <w:bCs/>
        </w:rPr>
        <w:t xml:space="preserve">AES-256</w:t>
      </w:r>
      <w:r>
        <w:t xml:space="preserve"> les champs médicaux sensibles : antécédents, traitements, ordonnances, résultats d'analyses, numéro CMU.</w:t>
      </w:r>
    </w:p>
    <w:p>
      <w:pPr>
        <w:pStyle w:val="Heading2"/>
      </w:pPr>
      <w:r>
        <w:t xml:space="preserve">6.1 Casts chiffrés natifs Laravel</w:t>
      </w:r>
    </w:p>
    <w:p>
      <w:pPr>
        <w:spacing w:after="120" w:line="276"/>
        <w:jc w:val="both"/>
      </w:pPr>
      <w:r>
        <w:t xml:space="preserve">Laravel fournit des </w:t>
      </w:r>
      <w:r>
        <w:rPr>
          <w:b/>
          <w:bCs/>
        </w:rPr>
        <w:t xml:space="preserve">casts chiffrés</w:t>
      </w:r>
      <w:r>
        <w:t xml:space="preserve"> qui chiffrent/déchiffrent automatiquement à l'écriture et à la lecture, via la clé </w:t>
      </w:r>
      <w:r>
        <w:rPr>
          <w:rFonts w:ascii="Consolas" w:cs="Consolas" w:eastAsia="Consolas" w:hAnsi="Consolas"/>
          <w:sz w:val="18"/>
          <w:szCs w:val="18"/>
        </w:rPr>
        <w:t xml:space="preserve">APP_KEY</w:t>
      </w:r>
      <w:r>
        <w:t xml:space="preserve">. C'est l'approche la plus simple et fiable pour un projet L3.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0" w:sz="1"/>
              <w:left w:val="single" w:color="1B7A8C" w:sz="18"/>
              <w:bottom w:val="single" w:color="D9DEE0" w:sz="1"/>
              <w:right w:val="single" w:color="D9DEE0" w:sz="1"/>
            </w:tcBorders>
            <w:shd w:fill="F4F6F7"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app/Models/Antecedent.php</w:t>
            </w:r>
          </w:p>
          <w:p>
            <w:pPr>
              <w:spacing w:after="0" w:line="240"/>
            </w:pPr>
            <w:r>
              <w:rPr>
                <w:rFonts w:ascii="Consolas" w:cs="Consolas" w:eastAsia="Consolas" w:hAnsi="Consolas"/>
                <w:sz w:val="17"/>
                <w:szCs w:val="17"/>
              </w:rPr>
              <w:t xml:space="preserve">class Antecedent extends Model</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protected $casts = [</w:t>
            </w:r>
          </w:p>
          <w:p>
            <w:pPr>
              <w:spacing w:after="0" w:line="240"/>
            </w:pPr>
            <w:r>
              <w:rPr>
                <w:rFonts w:ascii="Consolas" w:cs="Consolas" w:eastAsia="Consolas" w:hAnsi="Consolas"/>
                <w:sz w:val="17"/>
                <w:szCs w:val="17"/>
              </w:rPr>
              <w:t xml:space="preserve">        'description'        =&gt; 'encrypted',</w:t>
            </w:r>
          </w:p>
          <w:p>
            <w:pPr>
              <w:spacing w:after="0" w:line="240"/>
            </w:pPr>
            <w:r>
              <w:rPr>
                <w:rFonts w:ascii="Consolas" w:cs="Consolas" w:eastAsia="Consolas" w:hAnsi="Consolas"/>
                <w:sz w:val="17"/>
                <w:szCs w:val="17"/>
              </w:rPr>
              <w:t xml:space="preserve">        'traitement_actuel'  =&gt; 'encrypted',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app/Models/Ordonnance.php</w:t>
            </w:r>
          </w:p>
          <w:p>
            <w:pPr>
              <w:spacing w:after="0" w:line="240"/>
            </w:pPr>
            <w:r>
              <w:rPr>
                <w:rFonts w:ascii="Consolas" w:cs="Consolas" w:eastAsia="Consolas" w:hAnsi="Consolas"/>
                <w:sz w:val="17"/>
                <w:szCs w:val="17"/>
              </w:rPr>
              <w:t xml:space="preserve">protected $casts = [</w:t>
            </w:r>
          </w:p>
          <w:p>
            <w:pPr>
              <w:spacing w:after="0" w:line="240"/>
            </w:pPr>
            <w:r>
              <w:rPr>
                <w:rFonts w:ascii="Consolas" w:cs="Consolas" w:eastAsia="Consolas" w:hAnsi="Consolas"/>
                <w:sz w:val="17"/>
                <w:szCs w:val="17"/>
              </w:rPr>
              <w:t xml:space="preserve">    'medicaments_json' =&gt; 'encrypted:array', // chiffre tout le JSON</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app/Models/MembreFamille.php</w:t>
            </w:r>
          </w:p>
          <w:p>
            <w:pPr>
              <w:spacing w:after="0" w:line="240"/>
            </w:pPr>
            <w:r>
              <w:rPr>
                <w:rFonts w:ascii="Consolas" w:cs="Consolas" w:eastAsia="Consolas" w:hAnsi="Consolas"/>
                <w:sz w:val="17"/>
                <w:szCs w:val="17"/>
              </w:rPr>
              <w:t xml:space="preserve">protected $casts = ['cmu_numero' =&gt; 'encrypted'];</w:t>
            </w:r>
          </w:p>
        </w:tc>
      </w:tr>
    </w:tbl>
    <w:p>
      <w:pPr>
        <w:spacing w:after="160" w:before="60"/>
      </w:pPr>
      <w:r>
        <w:rPr>
          <w:i/>
          <w:iCs/>
          <w:color w:val="5A6B6F"/>
          <w:sz w:val="17"/>
          <w:szCs w:val="17"/>
        </w:rPr>
        <w:t xml:space="preserve">À l'écriture la valeur est chiffrée AES-256-CBC ; en base on ne voit qu'un blob illisible. La lecture déchiffre de façon transparente pour le code applicatif.</w:t>
      </w:r>
    </w:p>
    <w:p>
      <w:pPr>
        <w:pStyle w:val="Heading2"/>
      </w:pPr>
      <w:r>
        <w:t xml:space="preserve">6.2 Gestion et rotation des clés</w:t>
      </w:r>
    </w:p>
    <w:p>
      <w:pPr>
        <w:spacing w:after="120" w:line="276"/>
        <w:jc w:val="both"/>
      </w:pPr>
      <w:r>
        <w:t xml:space="preserve">La règle d'or : </w:t>
      </w:r>
      <w:r>
        <w:rPr>
          <w:b/>
          <w:bCs/>
        </w:rPr>
        <w:t xml:space="preserve">la clé ne vit jamais dans la base ni dans le dépôt Git</w:t>
      </w:r>
      <w:r>
        <w:t xml:space="preserve">. Elle est dans la variable d'environnement </w:t>
      </w:r>
      <w:r>
        <w:rPr>
          <w:rFonts w:ascii="Consolas" w:cs="Consolas" w:eastAsia="Consolas" w:hAnsi="Consolas"/>
          <w:sz w:val="18"/>
          <w:szCs w:val="18"/>
        </w:rPr>
        <w:t xml:space="preserve">APP_KEY</w:t>
      </w:r>
      <w:r>
        <w:t xml:space="preserve"> du serveur.</w:t>
      </w:r>
    </w:p>
    <w:p>
      <w:pPr>
        <w:pStyle w:val="ListParagraph"/>
        <w:numPr>
          <w:ilvl w:val="0"/>
          <w:numId w:val="2"/>
        </w:numPr>
        <w:spacing w:after="80" w:line="268"/>
        <w:jc w:val="both"/>
      </w:pPr>
      <w:r>
        <w:rPr>
          <w:b/>
          <w:bCs/>
        </w:rPr>
        <w:t xml:space="preserve">Stockage — </w:t>
      </w:r>
      <w:r>
        <w:t xml:space="preserve">clé dans </w:t>
      </w:r>
      <w:r>
        <w:rPr>
          <w:rFonts w:ascii="Consolas" w:cs="Consolas" w:eastAsia="Consolas" w:hAnsi="Consolas"/>
          <w:sz w:val="18"/>
          <w:szCs w:val="18"/>
        </w:rPr>
        <w:t xml:space="preserve">.env</w:t>
      </w:r>
      <w:r>
        <w:t xml:space="preserve"> du serveur, fichier exclu de Git et à permissions restreintes (chmod 600).</w:t>
      </w:r>
    </w:p>
    <w:p>
      <w:pPr>
        <w:pStyle w:val="ListParagraph"/>
        <w:numPr>
          <w:ilvl w:val="0"/>
          <w:numId w:val="2"/>
        </w:numPr>
        <w:spacing w:after="80" w:line="268"/>
        <w:jc w:val="both"/>
      </w:pPr>
      <w:r>
        <w:rPr>
          <w:b/>
          <w:bCs/>
        </w:rPr>
        <w:t xml:space="preserve">Recommandation production — </w:t>
      </w:r>
      <w:r>
        <w:t xml:space="preserve">utiliser un gestionnaire de secrets (AWS KMS, HashiCorp Vault, ou DigitalOcean variables chiffrées) plutôt qu'un simple fichier.</w:t>
      </w:r>
    </w:p>
    <w:p>
      <w:pPr>
        <w:pStyle w:val="ListParagraph"/>
        <w:numPr>
          <w:ilvl w:val="0"/>
          <w:numId w:val="2"/>
        </w:numPr>
        <w:spacing w:after="80" w:line="268"/>
        <w:jc w:val="both"/>
      </w:pPr>
      <w:r>
        <w:rPr>
          <w:b/>
          <w:bCs/>
        </w:rPr>
        <w:t xml:space="preserve">Rotation — </w:t>
      </w:r>
      <w:r>
        <w:t xml:space="preserve">Laravel 11 gère plusieurs clés via </w:t>
      </w:r>
      <w:r>
        <w:rPr>
          <w:rFonts w:ascii="Consolas" w:cs="Consolas" w:eastAsia="Consolas" w:hAnsi="Consolas"/>
          <w:sz w:val="18"/>
          <w:szCs w:val="18"/>
        </w:rPr>
        <w:t xml:space="preserve">APP_PREVIOUS_KEYS</w:t>
      </w:r>
      <w:r>
        <w:t xml:space="preserve"> : on peut introduire une nouvelle clé sans casser les données chiffrées avec l'ancienne.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0" w:sz="1"/>
              <w:left w:val="single" w:color="1B7A8C" w:sz="18"/>
              <w:bottom w:val="single" w:color="D9DEE0" w:sz="1"/>
              <w:right w:val="single" w:color="D9DEE0" w:sz="1"/>
            </w:tcBorders>
            <w:shd w:fill="F4F6F7"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.env du serveur (jamais committé)</w:t>
            </w:r>
          </w:p>
          <w:p>
            <w:pPr>
              <w:spacing w:after="0" w:line="240"/>
            </w:pPr>
            <w:r>
              <w:rPr>
                <w:rFonts w:ascii="Consolas" w:cs="Consolas" w:eastAsia="Consolas" w:hAnsi="Consolas"/>
                <w:sz w:val="17"/>
                <w:szCs w:val="17"/>
              </w:rPr>
              <w:t xml:space="preserve">APP_KEY=base64:xxxxxxxxxxxxxxxxxxxxxxxxxxxxxxxxxxxxxxxxxxx=</w:t>
            </w:r>
          </w:p>
          <w:p>
            <w:pPr>
              <w:spacing w:after="0" w:line="240"/>
            </w:pPr>
            <w:r>
              <w:rPr>
                <w:rFonts w:ascii="Consolas" w:cs="Consolas" w:eastAsia="Consolas" w:hAnsi="Consolas"/>
                <w:sz w:val="17"/>
                <w:szCs w:val="17"/>
              </w:rPr>
              <w:t xml:space="preserve">APP_PREVIOUS_KEYS=base64:ancienneCléPourDéchiffrerLHistorique=</w:t>
            </w:r>
          </w:p>
        </w:tc>
      </w:tr>
    </w:tbl>
    <w:p>
      <w:pPr>
        <w:spacing w:after="120"/>
      </w:pPr>
    </w:p>
    <w:p>
      <w:pPr>
        <w:spacing w:after="120" w:line="276"/>
        <w:jc w:val="both"/>
      </w:pPr>
      <w:r>
        <w:rPr>
          <w:b/>
          <w:bCs/>
        </w:rPr>
        <w:t xml:space="preserve">Limite à connaître (à dire au jury). </w:t>
      </w:r>
      <w:r>
        <w:t xml:space="preserve">Un champ chiffré n'est pas interrogeable par </w:t>
      </w:r>
      <w:r>
        <w:rPr>
          <w:rFonts w:ascii="Consolas" w:cs="Consolas" w:eastAsia="Consolas" w:hAnsi="Consolas"/>
          <w:sz w:val="18"/>
          <w:szCs w:val="18"/>
        </w:rPr>
        <w:t xml:space="preserve">WHERE</w:t>
      </w:r>
      <w:r>
        <w:t xml:space="preserve">. Pour rechercher (ex. retrouver un membre par CMU), on stocke en plus un </w:t>
      </w:r>
      <w:r>
        <w:rPr>
          <w:b/>
          <w:bCs/>
        </w:rPr>
        <w:t xml:space="preserve">hash déterministe aveugle</w:t>
      </w:r>
      <w:r>
        <w:t xml:space="preserve"> (blind index) du champ, qui permet l'égalité sans révéler la valeur.</w:t>
      </w:r>
    </w:p>
    <w:p>
      <w:pPr>
        <w:pStyle w:val="Heading2"/>
      </w:pPr>
      <w:r>
        <w:t xml:space="preserve">6.3 Données chiffrées côté mobile (mode hors-ligne)</w:t>
      </w:r>
    </w:p>
    <w:p>
      <w:pPr>
        <w:spacing w:after="120" w:line="276"/>
        <w:jc w:val="both"/>
      </w:pPr>
      <w:r>
        <w:t xml:space="preserve">Le cache local du carnet (mode offline) est lui aussi une cible si le téléphone est volé. On stocke le cache dans </w:t>
      </w:r>
      <w:r>
        <w:rPr>
          <w:rFonts w:ascii="Consolas" w:cs="Consolas" w:eastAsia="Consolas" w:hAnsi="Consolas"/>
          <w:sz w:val="18"/>
          <w:szCs w:val="18"/>
        </w:rPr>
        <w:t xml:space="preserve">expo-sqlite</w:t>
      </w:r>
      <w:r>
        <w:t xml:space="preserve"> et on conserve la clé/les secrets dans </w:t>
      </w:r>
      <w:r>
        <w:rPr>
          <w:b/>
          <w:bCs/>
        </w:rPr>
        <w:t xml:space="preserve">expo-secure-store</w:t>
      </w:r>
      <w:r>
        <w:t xml:space="preserve"> (Keychain/Keystore matériel), jamais en clair dans un fichier JSON.</w:t>
      </w:r>
    </w:p>
    <w:p>
      <w:r>
        <w:br w:type="page"/>
      </w:r>
    </w:p>
    <w:p>
      <w:pPr>
        <w:pStyle w:val="Heading1"/>
      </w:pPr>
      <w:r>
        <w:t xml:space="preserve">7. Sécurité du transport et de l'API</w:t>
      </w:r>
    </w:p>
    <w:p>
      <w:pPr>
        <w:pStyle w:val="Heading2"/>
      </w:pPr>
      <w:r>
        <w:t xml:space="preserve">7.1 TLS 1.3 et en-têtes de sécurité</w:t>
      </w:r>
    </w:p>
    <w:p>
      <w:pPr>
        <w:spacing w:after="120" w:line="276"/>
        <w:jc w:val="both"/>
      </w:pPr>
      <w:r>
        <w:t xml:space="preserve">Toute communication client-serveur passe par HTTPS/TLS 1.3. On ajoute des en-têtes HTTP de sécurité via un middleware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0" w:sz="1"/>
              <w:left w:val="single" w:color="1B7A8C" w:sz="18"/>
              <w:bottom w:val="single" w:color="D9DEE0" w:sz="1"/>
              <w:right w:val="single" w:color="D9DEE0" w:sz="1"/>
            </w:tcBorders>
            <w:shd w:fill="F4F6F7"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app/Http/Middleware/SecurityHeaders.php</w:t>
            </w:r>
          </w:p>
          <w:p>
            <w:pPr>
              <w:spacing w:after="0" w:line="240"/>
            </w:pPr>
            <w:r>
              <w:rPr>
                <w:rFonts w:ascii="Consolas" w:cs="Consolas" w:eastAsia="Consolas" w:hAnsi="Consolas"/>
                <w:sz w:val="17"/>
                <w:szCs w:val="17"/>
              </w:rPr>
              <w:t xml:space="preserve">public function handle($request, Closure $next)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$response = $next($request);</w:t>
            </w:r>
          </w:p>
          <w:p>
            <w:pPr>
              <w:spacing w:after="0" w:line="240"/>
            </w:pPr>
            <w:r>
              <w:rPr>
                <w:rFonts w:ascii="Consolas" w:cs="Consolas" w:eastAsia="Consolas" w:hAnsi="Consolas"/>
                <w:sz w:val="17"/>
                <w:szCs w:val="17"/>
              </w:rPr>
              <w:t xml:space="preserve">    $response-&gt;headers-&gt;set('Strict-Transport-Security',</w:t>
            </w:r>
          </w:p>
          <w:p>
            <w:pPr>
              <w:spacing w:after="0" w:line="240"/>
            </w:pPr>
            <w:r>
              <w:rPr>
                <w:rFonts w:ascii="Consolas" w:cs="Consolas" w:eastAsia="Consolas" w:hAnsi="Consolas"/>
                <w:sz w:val="17"/>
                <w:szCs w:val="17"/>
              </w:rPr>
              <w:t xml:space="preserve">        'max-age=31536000; includeSubDomains; preload');   // HSTS</w:t>
            </w:r>
          </w:p>
          <w:p>
            <w:pPr>
              <w:spacing w:after="0" w:line="240"/>
            </w:pPr>
            <w:r>
              <w:rPr>
                <w:rFonts w:ascii="Consolas" w:cs="Consolas" w:eastAsia="Consolas" w:hAnsi="Consolas"/>
                <w:sz w:val="17"/>
                <w:szCs w:val="17"/>
              </w:rPr>
              <w:t xml:space="preserve">    $response-&gt;headers-&gt;set('X-Content-Type-Options', 'nosniff');</w:t>
            </w:r>
          </w:p>
          <w:p>
            <w:pPr>
              <w:spacing w:after="0" w:line="240"/>
            </w:pPr>
            <w:r>
              <w:rPr>
                <w:rFonts w:ascii="Consolas" w:cs="Consolas" w:eastAsia="Consolas" w:hAnsi="Consolas"/>
                <w:sz w:val="17"/>
                <w:szCs w:val="17"/>
              </w:rPr>
              <w:t xml:space="preserve">    $response-&gt;headers-&gt;set('X-Frame-Options', 'DENY');</w:t>
            </w:r>
          </w:p>
          <w:p>
            <w:pPr>
              <w:spacing w:after="0" w:line="240"/>
            </w:pPr>
            <w:r>
              <w:rPr>
                <w:rFonts w:ascii="Consolas" w:cs="Consolas" w:eastAsia="Consolas" w:hAnsi="Consolas"/>
                <w:sz w:val="17"/>
                <w:szCs w:val="17"/>
              </w:rPr>
              <w:t xml:space="preserve">    $response-&gt;headers-&gt;set('Referrer-Policy', 'no-referrer');</w:t>
            </w:r>
          </w:p>
          <w:p>
            <w:pPr>
              <w:spacing w:after="0" w:line="240"/>
            </w:pPr>
            <w:r>
              <w:rPr>
                <w:rFonts w:ascii="Consolas" w:cs="Consolas" w:eastAsia="Consolas" w:hAnsi="Consolas"/>
                <w:sz w:val="17"/>
                <w:szCs w:val="17"/>
              </w:rPr>
              <w:t xml:space="preserve">    return $response;</w:t>
            </w:r>
          </w:p>
          <w:p>
            <w:pPr>
              <w:spacing w:after="0" w:line="240"/>
            </w:pPr>
            <w:r>
              <w:rPr>
                <w:rFonts w:ascii="Consolas" w:cs="Consolas" w:eastAsia="Consolas" w:hAnsi="Consolas"/>
                <w:sz w:val="17"/>
                <w:szCs w:val="17"/>
              </w:rPr>
              <w:t xml:space="preserve">}</w:t>
            </w:r>
          </w:p>
        </w:tc>
      </w:tr>
    </w:tbl>
    <w:p>
      <w:pPr>
        <w:spacing w:after="160" w:before="60"/>
      </w:pPr>
      <w:r>
        <w:rPr>
          <w:i/>
          <w:iCs/>
          <w:color w:val="5A6B6F"/>
          <w:sz w:val="17"/>
          <w:szCs w:val="17"/>
        </w:rPr>
        <w:t xml:space="preserve">HSTS force le navigateur à n'utiliser que HTTPS, neutralisant le « SSL stripping » sur le portail web admin.</w:t>
      </w:r>
    </w:p>
    <w:p>
      <w:pPr>
        <w:pStyle w:val="Heading2"/>
      </w:pPr>
      <w:r>
        <w:t xml:space="preserve">7.2 Certificate pinning côté Expo</w:t>
      </w:r>
    </w:p>
    <w:p>
      <w:pPr>
        <w:spacing w:after="120" w:line="276"/>
        <w:jc w:val="both"/>
      </w:pPr>
      <w:r>
        <w:t xml:space="preserve">Contre l'attaque de l'homme du milieu (Man-In-The-Middle) sur réseau Wi-Fi public, le </w:t>
      </w:r>
      <w:r>
        <w:rPr>
          <w:b/>
          <w:bCs/>
        </w:rPr>
        <w:t xml:space="preserve">certificate pinning</w:t>
      </w:r>
      <w:r>
        <w:t xml:space="preserve"> fait que l'app n'accepte que le certificat attendu du serveur. À implémenter en build natif (pas en Expo Go).</w:t>
      </w:r>
    </w:p>
    <w:p>
      <w:pPr>
        <w:pStyle w:val="Heading2"/>
      </w:pPr>
      <w:r>
        <w:t xml:space="preserve">7.3 CORS et cas particulier du tunnel Ngrok (tests)</w:t>
      </w:r>
    </w:p>
    <w:p>
      <w:pPr>
        <w:spacing w:after="120" w:line="276"/>
        <w:jc w:val="both"/>
      </w:pPr>
      <w:r>
        <w:t xml:space="preserve">Pendant le développement, l'app Expo (SDK 54) sur ton téléphone joint le backend via un </w:t>
      </w:r>
      <w:r>
        <w:rPr>
          <w:b/>
          <w:bCs/>
        </w:rPr>
        <w:t xml:space="preserve">tunnel Ngrok</w:t>
      </w:r>
      <w:r>
        <w:t xml:space="preserve">. Ngrok expose déjà du HTTPS, ce qui est commode, mais il faut distinguer la configuration de test de la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CDD0" w:sz="1"/>
              <w:left w:val="single" w:color="BFCDD0" w:sz="1"/>
              <w:bottom w:val="single" w:color="BFCDD0" w:sz="1"/>
              <w:right w:val="single" w:color="BFCDD0" w:sz="1"/>
            </w:tcBorders>
            <w:shd w:fill="0F5C6B" w:val="clear"/>
            <w:tcMar>
              <w:top w:type="dxa" w:w="70"/>
              <w:left w:type="dxa" w:w="110"/>
              <w:bottom w:type="dxa" w:w="70"/>
              <w:right w:type="dxa" w:w="110"/>
            </w:tcMar>
            <w:vAlign w:val="center"/>
          </w:tcPr>
          <w:p>
            <w:pPr>
              <w:spacing w:after="0" w:line="252"/>
              <w:jc w:val="left"/>
            </w:pPr>
            <w:r>
              <w:rPr>
                <w:b/>
                <w:bCs/>
                <w:color w:val="FFFFFF"/>
                <w:sz w:val="19"/>
                <w:szCs w:val="19"/>
              </w:rPr>
              <w:t xml:space="preserve">Aspect</w:t>
            </w:r>
          </w:p>
        </w:tc>
        <w:tc>
          <w:tcPr>
            <w:tcW w:type="dxa" w:w="3580"/>
            <w:tcBorders>
              <w:top w:val="single" w:color="BFCDD0" w:sz="1"/>
              <w:left w:val="single" w:color="BFCDD0" w:sz="1"/>
              <w:bottom w:val="single" w:color="BFCDD0" w:sz="1"/>
              <w:right w:val="single" w:color="BFCDD0" w:sz="1"/>
            </w:tcBorders>
            <w:shd w:fill="0F5C6B" w:val="clear"/>
            <w:tcMar>
              <w:top w:type="dxa" w:w="70"/>
              <w:left w:type="dxa" w:w="110"/>
              <w:bottom w:type="dxa" w:w="70"/>
              <w:right w:type="dxa" w:w="110"/>
            </w:tcMar>
            <w:vAlign w:val="center"/>
          </w:tcPr>
          <w:p>
            <w:pPr>
              <w:spacing w:after="0" w:line="252"/>
              <w:jc w:val="left"/>
            </w:pPr>
            <w:r>
              <w:rPr>
                <w:b/>
                <w:bCs/>
                <w:color w:val="FFFFFF"/>
                <w:sz w:val="19"/>
                <w:szCs w:val="19"/>
              </w:rPr>
              <w:t xml:space="preserve">En test (Ngrok)</w:t>
            </w:r>
          </w:p>
        </w:tc>
        <w:tc>
          <w:tcPr>
            <w:tcW w:type="dxa" w:w="3580"/>
            <w:tcBorders>
              <w:top w:val="single" w:color="BFCDD0" w:sz="1"/>
              <w:left w:val="single" w:color="BFCDD0" w:sz="1"/>
              <w:bottom w:val="single" w:color="BFCDD0" w:sz="1"/>
              <w:right w:val="single" w:color="BFCDD0" w:sz="1"/>
            </w:tcBorders>
            <w:shd w:fill="0F5C6B" w:val="clear"/>
            <w:tcMar>
              <w:top w:type="dxa" w:w="70"/>
              <w:left w:type="dxa" w:w="110"/>
              <w:bottom w:type="dxa" w:w="70"/>
              <w:right w:type="dxa" w:w="110"/>
            </w:tcMar>
            <w:vAlign w:val="center"/>
          </w:tcPr>
          <w:p>
            <w:pPr>
              <w:spacing w:after="0" w:line="252"/>
              <w:jc w:val="left"/>
            </w:pPr>
            <w:r>
              <w:rPr>
                <w:b/>
                <w:bCs/>
                <w:color w:val="FFFFFF"/>
                <w:sz w:val="19"/>
                <w:szCs w:val="19"/>
              </w:rPr>
              <w:t xml:space="preserve">En production</w:t>
            </w:r>
          </w:p>
        </w:tc>
      </w:tr>
      <w:tr>
        <w:tc>
          <w:tcPr>
            <w:tcW w:type="dxa" w:w="22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CORS</w:t>
            </w:r>
          </w:p>
        </w:tc>
        <w:tc>
          <w:tcPr>
            <w:tcW w:type="dxa" w:w="358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Autoriser l'URL Ngrok du moment</w:t>
            </w:r>
          </w:p>
        </w:tc>
        <w:tc>
          <w:tcPr>
            <w:tcW w:type="dxa" w:w="358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Liste blanche stricte de domaines</w:t>
            </w:r>
          </w:p>
        </w:tc>
      </w:tr>
      <w:tr>
        <w:tc>
          <w:tcPr>
            <w:tcW w:type="dxa" w:w="22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HSTS / pinning</w:t>
            </w:r>
          </w:p>
        </w:tc>
        <w:tc>
          <w:tcPr>
            <w:tcW w:type="dxa" w:w="358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Désactivé (l'URL Ngrok change)</w:t>
            </w:r>
          </w:p>
        </w:tc>
        <w:tc>
          <w:tcPr>
            <w:tcW w:type="dxa" w:w="358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Activé</w:t>
            </w:r>
          </w:p>
        </w:tc>
      </w:tr>
      <w:tr>
        <w:tc>
          <w:tcPr>
            <w:tcW w:type="dxa" w:w="22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APP_DEBUG</w:t>
            </w:r>
          </w:p>
        </w:tc>
        <w:tc>
          <w:tcPr>
            <w:tcW w:type="dxa" w:w="358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true (local)</w:t>
            </w:r>
          </w:p>
        </w:tc>
        <w:tc>
          <w:tcPr>
            <w:tcW w:type="dxa" w:w="358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false impérativement</w:t>
            </w:r>
          </w:p>
        </w:tc>
      </w:tr>
      <w:tr>
        <w:tc>
          <w:tcPr>
            <w:tcW w:type="dxa" w:w="22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Clé / secrets</w:t>
            </w:r>
          </w:p>
        </w:tc>
        <w:tc>
          <w:tcPr>
            <w:tcW w:type="dxa" w:w="358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Valeurs de test</w:t>
            </w:r>
          </w:p>
        </w:tc>
        <w:tc>
          <w:tcPr>
            <w:tcW w:type="dxa" w:w="358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Secrets réels, jamais partagés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0" w:sz="1"/>
              <w:left w:val="single" w:color="1B7A8C" w:sz="18"/>
              <w:bottom w:val="single" w:color="D9DEE0" w:sz="1"/>
              <w:right w:val="single" w:color="D9DEE0" w:sz="1"/>
            </w:tcBorders>
            <w:shd w:fill="F4F6F7"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config/cors.php  — en développement uniquement</w:t>
            </w:r>
          </w:p>
          <w:p>
            <w:pPr>
              <w:spacing w:after="0" w:line="240"/>
            </w:pPr>
            <w:r>
              <w:rPr>
                <w:rFonts w:ascii="Consolas" w:cs="Consolas" w:eastAsia="Consolas" w:hAnsi="Consolas"/>
                <w:sz w:val="17"/>
                <w:szCs w:val="17"/>
              </w:rPr>
              <w:t xml:space="preserve">'allowed_origins' =&gt; [</w:t>
            </w:r>
          </w:p>
          <w:p>
            <w:pPr>
              <w:spacing w:after="0" w:line="240"/>
            </w:pPr>
            <w:r>
              <w:rPr>
                <w:rFonts w:ascii="Consolas" w:cs="Consolas" w:eastAsia="Consolas" w:hAnsi="Consolas"/>
                <w:sz w:val="17"/>
                <w:szCs w:val="17"/>
              </w:rPr>
              <w:t xml:space="preserve">    env('FRONTEND_URL'),            // ton URL Ngrok du moment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'supports_credentials' =&gt; 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.env</w:t>
            </w:r>
          </w:p>
          <w:p>
            <w:pPr>
              <w:spacing w:after="0" w:line="240"/>
            </w:pPr>
            <w:r>
              <w:rPr>
                <w:rFonts w:ascii="Consolas" w:cs="Consolas" w:eastAsia="Consolas" w:hAnsi="Consolas"/>
                <w:sz w:val="17"/>
                <w:szCs w:val="17"/>
              </w:rPr>
              <w:t xml:space="preserve">APP_DEBUG=false   // TOUJOURS false hors développement local</w:t>
            </w:r>
          </w:p>
        </w:tc>
      </w:tr>
    </w:tbl>
    <w:p>
      <w:pPr>
        <w:spacing w:after="160" w:before="60"/>
      </w:pPr>
      <w:r>
        <w:rPr>
          <w:i/>
          <w:iCs/>
          <w:color w:val="5A6B6F"/>
          <w:sz w:val="17"/>
          <w:szCs w:val="17"/>
        </w:rPr>
        <w:t xml:space="preserve">Erreur classique en soutenance : laisser APP_DEBUG=true en démonstration expose les traces d'erreur (chemins, requêtes SQL). À vérifier avant la présentation.</w:t>
      </w:r>
    </w:p>
    <w:p>
      <w:r>
        <w:br w:type="page"/>
      </w:r>
    </w:p>
    <w:p>
      <w:pPr>
        <w:pStyle w:val="Heading1"/>
      </w:pPr>
      <w:r>
        <w:t xml:space="preserve">8. Validation des entrées et couverture OWASP Top 10</w:t>
      </w:r>
    </w:p>
    <w:p>
      <w:pPr>
        <w:spacing w:after="120" w:line="276"/>
        <w:jc w:val="both"/>
      </w:pPr>
      <w:r>
        <w:t xml:space="preserve">Toute donnée venant du client est considérée comme hostile jusqu'à preuve du contraire. La validation se fait dans des </w:t>
      </w:r>
      <w:r>
        <w:rPr>
          <w:b/>
          <w:bCs/>
        </w:rPr>
        <w:t xml:space="preserve">Form Requests</w:t>
      </w:r>
      <w:r>
        <w:t xml:space="preserve"> dédiés, jamais directement dans le contrôleur.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0" w:sz="1"/>
              <w:left w:val="single" w:color="1B7A8C" w:sz="18"/>
              <w:bottom w:val="single" w:color="D9DEE0" w:sz="1"/>
              <w:right w:val="single" w:color="D9DEE0" w:sz="1"/>
            </w:tcBorders>
            <w:shd w:fill="F4F6F7"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app/Http/Requests/TriageRequest.php</w:t>
            </w:r>
          </w:p>
          <w:p>
            <w:pPr>
              <w:spacing w:after="0" w:line="240"/>
            </w:pPr>
            <w:r>
              <w:rPr>
                <w:rFonts w:ascii="Consolas" w:cs="Consolas" w:eastAsia="Consolas" w:hAnsi="Consolas"/>
                <w:sz w:val="17"/>
                <w:szCs w:val="17"/>
              </w:rPr>
              <w:t xml:space="preserve">public function rules(): array</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'membre_id'      =&gt; ['required', 'integer', 'exists:membres_famille,id'],</w:t>
            </w:r>
          </w:p>
          <w:p>
            <w:pPr>
              <w:spacing w:after="0" w:line="240"/>
            </w:pPr>
            <w:r>
              <w:rPr>
                <w:rFonts w:ascii="Consolas" w:cs="Consolas" w:eastAsia="Consolas" w:hAnsi="Consolas"/>
                <w:sz w:val="17"/>
                <w:szCs w:val="17"/>
              </w:rPr>
              <w:t xml:space="preserve">        'symptomes'      =&gt; ['required', 'array', 'min:1', 'max:20'],</w:t>
            </w:r>
          </w:p>
          <w:p>
            <w:pPr>
              <w:spacing w:after="0" w:line="240"/>
            </w:pPr>
            <w:r>
              <w:rPr>
                <w:rFonts w:ascii="Consolas" w:cs="Consolas" w:eastAsia="Consolas" w:hAnsi="Consolas"/>
                <w:sz w:val="17"/>
                <w:szCs w:val="17"/>
              </w:rPr>
              <w:t xml:space="preserve">        'symptomes.*.id' =&gt; ['required', 'integer', 'exists:symptomes,id'],</w:t>
            </w:r>
          </w:p>
          <w:p>
            <w:pPr>
              <w:spacing w:after="0" w:line="240"/>
            </w:pPr>
            <w:r>
              <w:rPr>
                <w:rFonts w:ascii="Consolas" w:cs="Consolas" w:eastAsia="Consolas" w:hAnsi="Consolas"/>
                <w:sz w:val="17"/>
                <w:szCs w:val="17"/>
              </w:rPr>
              <w:t xml:space="preserve">        'reponses'       =&gt; ['required', 'array'],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tc>
      </w:tr>
    </w:tbl>
    <w:p>
      <w:pPr>
        <w:spacing w:after="160" w:before="60"/>
      </w:pPr>
      <w:r>
        <w:rPr>
          <w:i/>
          <w:iCs/>
          <w:color w:val="5A6B6F"/>
          <w:sz w:val="17"/>
          <w:szCs w:val="17"/>
        </w:rPr>
        <w:t xml:space="preserve">exists: garantit qu'on ne traite que des identifiants réels ; les bornes min/max bloquent les charges anormales.</w:t>
      </w:r>
    </w:p>
    <w:p>
      <w:pPr>
        <w:pStyle w:val="Heading2"/>
      </w:pPr>
      <w:r>
        <w:t xml:space="preserve">8.1 Correspondance mesure ↔ OWASP Top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BFCDD0" w:sz="1"/>
              <w:left w:val="single" w:color="BFCDD0" w:sz="1"/>
              <w:bottom w:val="single" w:color="BFCDD0" w:sz="1"/>
              <w:right w:val="single" w:color="BFCDD0" w:sz="1"/>
            </w:tcBorders>
            <w:shd w:fill="0F5C6B" w:val="clear"/>
            <w:tcMar>
              <w:top w:type="dxa" w:w="70"/>
              <w:left w:type="dxa" w:w="110"/>
              <w:bottom w:type="dxa" w:w="70"/>
              <w:right w:type="dxa" w:w="110"/>
            </w:tcMar>
            <w:vAlign w:val="center"/>
          </w:tcPr>
          <w:p>
            <w:pPr>
              <w:spacing w:after="0" w:line="252"/>
              <w:jc w:val="left"/>
            </w:pPr>
            <w:r>
              <w:rPr>
                <w:b/>
                <w:bCs/>
                <w:color w:val="FFFFFF"/>
                <w:sz w:val="19"/>
                <w:szCs w:val="19"/>
              </w:rPr>
              <w:t xml:space="preserve">Vulnérabilité OWASP</w:t>
            </w:r>
          </w:p>
        </w:tc>
        <w:tc>
          <w:tcPr>
            <w:tcW w:type="dxa" w:w="3360"/>
            <w:tcBorders>
              <w:top w:val="single" w:color="BFCDD0" w:sz="1"/>
              <w:left w:val="single" w:color="BFCDD0" w:sz="1"/>
              <w:bottom w:val="single" w:color="BFCDD0" w:sz="1"/>
              <w:right w:val="single" w:color="BFCDD0" w:sz="1"/>
            </w:tcBorders>
            <w:shd w:fill="0F5C6B" w:val="clear"/>
            <w:tcMar>
              <w:top w:type="dxa" w:w="70"/>
              <w:left w:type="dxa" w:w="110"/>
              <w:bottom w:type="dxa" w:w="70"/>
              <w:right w:type="dxa" w:w="110"/>
            </w:tcMar>
            <w:vAlign w:val="center"/>
          </w:tcPr>
          <w:p>
            <w:pPr>
              <w:spacing w:after="0" w:line="252"/>
              <w:jc w:val="left"/>
            </w:pPr>
            <w:r>
              <w:rPr>
                <w:b/>
                <w:bCs/>
                <w:color w:val="FFFFFF"/>
                <w:sz w:val="19"/>
                <w:szCs w:val="19"/>
              </w:rPr>
              <w:t xml:space="preserve">Comment IVOIRSANTÉ s'en protège</w:t>
            </w:r>
          </w:p>
        </w:tc>
        <w:tc>
          <w:tcPr>
            <w:tcW w:type="dxa" w:w="3000"/>
            <w:tcBorders>
              <w:top w:val="single" w:color="BFCDD0" w:sz="1"/>
              <w:left w:val="single" w:color="BFCDD0" w:sz="1"/>
              <w:bottom w:val="single" w:color="BFCDD0" w:sz="1"/>
              <w:right w:val="single" w:color="BFCDD0" w:sz="1"/>
            </w:tcBorders>
            <w:shd w:fill="0F5C6B" w:val="clear"/>
            <w:tcMar>
              <w:top w:type="dxa" w:w="70"/>
              <w:left w:type="dxa" w:w="110"/>
              <w:bottom w:type="dxa" w:w="70"/>
              <w:right w:type="dxa" w:w="110"/>
            </w:tcMar>
            <w:vAlign w:val="center"/>
          </w:tcPr>
          <w:p>
            <w:pPr>
              <w:spacing w:after="0" w:line="252"/>
              <w:jc w:val="left"/>
            </w:pPr>
            <w:r>
              <w:rPr>
                <w:b/>
                <w:bCs/>
                <w:color w:val="FFFFFF"/>
                <w:sz w:val="19"/>
                <w:szCs w:val="19"/>
              </w:rPr>
              <w:t xml:space="preserve">Mécanisme</w:t>
            </w:r>
          </w:p>
        </w:tc>
      </w:tr>
      <w:tr>
        <w:tc>
          <w:tcPr>
            <w:tcW w:type="dxa" w:w="30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A01 Broken Access Control</w:t>
            </w:r>
          </w:p>
        </w:tc>
        <w:tc>
          <w:tcPr>
            <w:tcW w:type="dxa" w:w="336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Policies + RBAC + cloisonnement par établissement</w:t>
            </w:r>
          </w:p>
        </w:tc>
        <w:tc>
          <w:tcPr>
            <w:tcW w:type="dxa" w:w="30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Ch. 4</w:t>
            </w:r>
          </w:p>
        </w:tc>
      </w:tr>
      <w:tr>
        <w:tc>
          <w:tcPr>
            <w:tcW w:type="dxa" w:w="30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A02 Cryptographic Failures</w:t>
            </w:r>
          </w:p>
        </w:tc>
        <w:tc>
          <w:tcPr>
            <w:tcW w:type="dxa" w:w="336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AES-256 au repos, TLS 1.3 en transit</w:t>
            </w:r>
          </w:p>
        </w:tc>
        <w:tc>
          <w:tcPr>
            <w:tcW w:type="dxa" w:w="30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Ch. 6 &amp; 7</w:t>
            </w:r>
          </w:p>
        </w:tc>
      </w:tr>
      <w:tr>
        <w:tc>
          <w:tcPr>
            <w:tcW w:type="dxa" w:w="30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A03 Injection (SQL/XSS)</w:t>
            </w:r>
          </w:p>
        </w:tc>
        <w:tc>
          <w:tcPr>
            <w:tcW w:type="dxa" w:w="336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Eloquent (requêtes paramétrées) + validation + échappement Blade</w:t>
            </w:r>
          </w:p>
        </w:tc>
        <w:tc>
          <w:tcPr>
            <w:tcW w:type="dxa" w:w="30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Ch. 8</w:t>
            </w:r>
          </w:p>
        </w:tc>
      </w:tr>
      <w:tr>
        <w:tc>
          <w:tcPr>
            <w:tcW w:type="dxa" w:w="30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A04 Insecure Design</w:t>
            </w:r>
          </w:p>
        </w:tc>
        <w:tc>
          <w:tcPr>
            <w:tcW w:type="dxa" w:w="336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Modèle de menaces, QR usage unique</w:t>
            </w:r>
          </w:p>
        </w:tc>
        <w:tc>
          <w:tcPr>
            <w:tcW w:type="dxa" w:w="30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Ch. 2 &amp; 5</w:t>
            </w:r>
          </w:p>
        </w:tc>
      </w:tr>
      <w:tr>
        <w:tc>
          <w:tcPr>
            <w:tcW w:type="dxa" w:w="30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A05 Security Misconfiguration</w:t>
            </w:r>
          </w:p>
        </w:tc>
        <w:tc>
          <w:tcPr>
            <w:tcW w:type="dxa" w:w="336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APP_DEBUG=false, en-têtes durcis</w:t>
            </w:r>
          </w:p>
        </w:tc>
        <w:tc>
          <w:tcPr>
            <w:tcW w:type="dxa" w:w="30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Ch. 7</w:t>
            </w:r>
          </w:p>
        </w:tc>
      </w:tr>
      <w:tr>
        <w:tc>
          <w:tcPr>
            <w:tcW w:type="dxa" w:w="30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A06 Vulnerable Components</w:t>
            </w:r>
          </w:p>
        </w:tc>
        <w:tc>
          <w:tcPr>
            <w:tcW w:type="dxa" w:w="336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composer audit + mises à jour régulières</w:t>
            </w:r>
          </w:p>
        </w:tc>
        <w:tc>
          <w:tcPr>
            <w:tcW w:type="dxa" w:w="30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Ch. 8.2</w:t>
            </w:r>
          </w:p>
        </w:tc>
      </w:tr>
      <w:tr>
        <w:tc>
          <w:tcPr>
            <w:tcW w:type="dxa" w:w="30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A07 Auth Failures</w:t>
            </w:r>
          </w:p>
        </w:tc>
        <w:tc>
          <w:tcPr>
            <w:tcW w:type="dxa" w:w="336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Activation par lien, anti-bruteforce, token court</w:t>
            </w:r>
          </w:p>
        </w:tc>
        <w:tc>
          <w:tcPr>
            <w:tcW w:type="dxa" w:w="30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Ch. 3 &amp; 9</w:t>
            </w:r>
          </w:p>
        </w:tc>
      </w:tr>
      <w:tr>
        <w:tc>
          <w:tcPr>
            <w:tcW w:type="dxa" w:w="30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A08 Data Integrity Failures</w:t>
            </w:r>
          </w:p>
        </w:tc>
        <w:tc>
          <w:tcPr>
            <w:tcW w:type="dxa" w:w="336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Signature HMAC des tokens, audit immuable</w:t>
            </w:r>
          </w:p>
        </w:tc>
        <w:tc>
          <w:tcPr>
            <w:tcW w:type="dxa" w:w="30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Ch. 5 &amp; 10</w:t>
            </w:r>
          </w:p>
        </w:tc>
      </w:tr>
      <w:tr>
        <w:tc>
          <w:tcPr>
            <w:tcW w:type="dxa" w:w="30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A09 Logging Failures</w:t>
            </w:r>
          </w:p>
        </w:tc>
        <w:tc>
          <w:tcPr>
            <w:tcW w:type="dxa" w:w="336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Journal d'audit complet et non modifiable</w:t>
            </w:r>
          </w:p>
        </w:tc>
        <w:tc>
          <w:tcPr>
            <w:tcW w:type="dxa" w:w="30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Ch. 10</w:t>
            </w:r>
          </w:p>
        </w:tc>
      </w:tr>
      <w:tr>
        <w:tc>
          <w:tcPr>
            <w:tcW w:type="dxa" w:w="30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A10 SSRF</w:t>
            </w:r>
          </w:p>
        </w:tc>
        <w:tc>
          <w:tcPr>
            <w:tcW w:type="dxa" w:w="336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Validation stricte des URL externes (cartes, fichiers)</w:t>
            </w:r>
          </w:p>
        </w:tc>
        <w:tc>
          <w:tcPr>
            <w:tcW w:type="dxa" w:w="30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Ch. 8</w:t>
            </w:r>
          </w:p>
        </w:tc>
      </w:tr>
    </w:tbl>
    <w:p>
      <w:pPr>
        <w:pStyle w:val="Heading2"/>
      </w:pPr>
      <w:r>
        <w:t xml:space="preserve">8.2 Protections natives à activer</w:t>
      </w:r>
    </w:p>
    <w:p>
      <w:pPr>
        <w:pStyle w:val="ListParagraph"/>
        <w:numPr>
          <w:ilvl w:val="0"/>
          <w:numId w:val="2"/>
        </w:numPr>
        <w:spacing w:after="80" w:line="268"/>
        <w:jc w:val="both"/>
      </w:pPr>
      <w:r>
        <w:rPr>
          <w:b/>
          <w:bCs/>
        </w:rPr>
        <w:t xml:space="preserve">Injection SQL — </w:t>
      </w:r>
      <w:r>
        <w:t xml:space="preserve">toujours passer par l'ORM Eloquent ou les requêtes liées (</w:t>
      </w:r>
      <w:r>
        <w:rPr>
          <w:rFonts w:ascii="Consolas" w:cs="Consolas" w:eastAsia="Consolas" w:hAnsi="Consolas"/>
          <w:sz w:val="18"/>
          <w:szCs w:val="18"/>
        </w:rPr>
        <w:t xml:space="preserve">?</w:t>
      </w:r>
      <w:r>
        <w:t xml:space="preserve"> / bindings) ; jamais de concaténation de chaînes SQL.</w:t>
      </w:r>
    </w:p>
    <w:p>
      <w:pPr>
        <w:pStyle w:val="ListParagraph"/>
        <w:numPr>
          <w:ilvl w:val="0"/>
          <w:numId w:val="2"/>
        </w:numPr>
        <w:spacing w:after="80" w:line="268"/>
        <w:jc w:val="both"/>
      </w:pPr>
      <w:r>
        <w:rPr>
          <w:b/>
          <w:bCs/>
        </w:rPr>
        <w:t xml:space="preserve">XSS — </w:t>
      </w:r>
      <w:r>
        <w:t xml:space="preserve">le moteur Blade échappe par défaut ; on évite </w:t>
      </w:r>
      <w:r>
        <w:rPr>
          <w:rFonts w:ascii="Consolas" w:cs="Consolas" w:eastAsia="Consolas" w:hAnsi="Consolas"/>
          <w:sz w:val="18"/>
          <w:szCs w:val="18"/>
        </w:rPr>
        <w:t xml:space="preserve">{!! !!}</w:t>
      </w:r>
      <w:r>
        <w:t xml:space="preserve"> sur des données utilisateur.</w:t>
      </w:r>
    </w:p>
    <w:p>
      <w:pPr>
        <w:pStyle w:val="ListParagraph"/>
        <w:numPr>
          <w:ilvl w:val="0"/>
          <w:numId w:val="2"/>
        </w:numPr>
        <w:spacing w:after="80" w:line="268"/>
        <w:jc w:val="both"/>
      </w:pPr>
      <w:r>
        <w:rPr>
          <w:b/>
          <w:bCs/>
        </w:rPr>
        <w:t xml:space="preserve">CSRF — </w:t>
      </w:r>
      <w:r>
        <w:t xml:space="preserve">protection native Laravel pour le portail web (jeton CSRF sur les formulaires).</w:t>
      </w:r>
    </w:p>
    <w:p>
      <w:pPr>
        <w:pStyle w:val="ListParagraph"/>
        <w:numPr>
          <w:ilvl w:val="0"/>
          <w:numId w:val="2"/>
        </w:numPr>
        <w:spacing w:after="80" w:line="268"/>
        <w:jc w:val="both"/>
      </w:pPr>
      <w:r>
        <w:rPr>
          <w:b/>
          <w:bCs/>
        </w:rPr>
        <w:t xml:space="preserve">Mass assignment — </w:t>
      </w:r>
      <w:r>
        <w:t xml:space="preserve">on déclare explicitement </w:t>
      </w:r>
      <w:r>
        <w:rPr>
          <w:rFonts w:ascii="Consolas" w:cs="Consolas" w:eastAsia="Consolas" w:hAnsi="Consolas"/>
          <w:sz w:val="18"/>
          <w:szCs w:val="18"/>
        </w:rPr>
        <w:t xml:space="preserve">$fillable</w:t>
      </w:r>
      <w:r>
        <w:t xml:space="preserve"> sur chaque modèle pour empêcher l'écriture de champs non prévus (ex. </w:t>
      </w:r>
      <w:r>
        <w:rPr>
          <w:rFonts w:ascii="Consolas" w:cs="Consolas" w:eastAsia="Consolas" w:hAnsi="Consolas"/>
          <w:sz w:val="18"/>
          <w:szCs w:val="18"/>
        </w:rPr>
        <w:t xml:space="preserve">role</w:t>
      </w:r>
      <w:r>
        <w:t xml:space="preserve">).</w:t>
      </w:r>
    </w:p>
    <w:p>
      <w:pPr>
        <w:pStyle w:val="ListParagraph"/>
        <w:numPr>
          <w:ilvl w:val="0"/>
          <w:numId w:val="2"/>
        </w:numPr>
        <w:spacing w:after="80" w:line="268"/>
        <w:jc w:val="both"/>
      </w:pPr>
      <w:r>
        <w:rPr>
          <w:b/>
          <w:bCs/>
        </w:rPr>
        <w:t xml:space="preserve">Dépendances — </w:t>
      </w:r>
      <w:r>
        <w:t xml:space="preserve">exécuter régulièrement </w:t>
      </w:r>
      <w:r>
        <w:rPr>
          <w:rFonts w:ascii="Consolas" w:cs="Consolas" w:eastAsia="Consolas" w:hAnsi="Consolas"/>
          <w:sz w:val="18"/>
          <w:szCs w:val="18"/>
        </w:rPr>
        <w:t xml:space="preserve">composer audit</w:t>
      </w:r>
      <w:r>
        <w:t xml:space="preserve"> et </w:t>
      </w:r>
      <w:r>
        <w:rPr>
          <w:rFonts w:ascii="Consolas" w:cs="Consolas" w:eastAsia="Consolas" w:hAnsi="Consolas"/>
          <w:sz w:val="18"/>
          <w:szCs w:val="18"/>
        </w:rPr>
        <w:t xml:space="preserve">npm audit</w:t>
      </w:r>
      <w:r>
        <w:t xml:space="preserve"> pour détecter les paquets vulnérables.</w:t>
      </w:r>
    </w:p>
    <w:p>
      <w:r>
        <w:br w:type="page"/>
      </w:r>
    </w:p>
    <w:p>
      <w:pPr>
        <w:pStyle w:val="Heading1"/>
      </w:pPr>
      <w:r>
        <w:t xml:space="preserve">9. Limitation de débit et anti-abus</w:t>
      </w:r>
    </w:p>
    <w:p>
      <w:pPr>
        <w:spacing w:after="120" w:line="276"/>
        <w:jc w:val="both"/>
      </w:pPr>
      <w:r>
        <w:t xml:space="preserve">On limite le nombre de requêtes pour contrer la force brute, l'énumération de comptes et les dénis de service basiques.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0" w:sz="1"/>
              <w:left w:val="single" w:color="1B7A8C" w:sz="18"/>
              <w:bottom w:val="single" w:color="D9DEE0" w:sz="1"/>
              <w:right w:val="single" w:color="D9DEE0" w:sz="1"/>
            </w:tcBorders>
            <w:shd w:fill="F4F6F7"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app/Providers/AppServiceProvider.php (ou bootstrap/app.php en Laravel 11)</w:t>
            </w:r>
          </w:p>
          <w:p>
            <w:pPr>
              <w:spacing w:after="0" w:line="240"/>
            </w:pPr>
            <w:r>
              <w:rPr>
                <w:rFonts w:ascii="Consolas" w:cs="Consolas" w:eastAsia="Consolas" w:hAnsi="Consolas"/>
                <w:sz w:val="17"/>
                <w:szCs w:val="17"/>
              </w:rPr>
              <w:t xml:space="preserve">use Illuminate\Cache\RateLimiting\Limit;</w:t>
            </w:r>
          </w:p>
          <w:p>
            <w:pPr>
              <w:spacing w:after="0" w:line="240"/>
            </w:pPr>
            <w:r>
              <w:rPr>
                <w:rFonts w:ascii="Consolas" w:cs="Consolas" w:eastAsia="Consolas" w:hAnsi="Consolas"/>
                <w:sz w:val="17"/>
                <w:szCs w:val="17"/>
              </w:rPr>
              <w:t xml:space="preserve">use Illuminate\Support\Facades\RateLimiter;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API générale : 100 requêtes / minute / utilisateur ou IP</w:t>
            </w:r>
          </w:p>
          <w:p>
            <w:pPr>
              <w:spacing w:after="0" w:line="240"/>
            </w:pPr>
            <w:r>
              <w:rPr>
                <w:rFonts w:ascii="Consolas" w:cs="Consolas" w:eastAsia="Consolas" w:hAnsi="Consolas"/>
                <w:sz w:val="17"/>
                <w:szCs w:val="17"/>
              </w:rPr>
              <w:t xml:space="preserve">RateLimiter::for('api', fn ($request) =&gt;</w:t>
            </w:r>
          </w:p>
          <w:p>
            <w:pPr>
              <w:spacing w:after="0" w:line="240"/>
            </w:pPr>
            <w:r>
              <w:rPr>
                <w:rFonts w:ascii="Consolas" w:cs="Consolas" w:eastAsia="Consolas" w:hAnsi="Consolas"/>
                <w:sz w:val="17"/>
                <w:szCs w:val="17"/>
              </w:rPr>
              <w:t xml:space="preserve">    Limit::perMinute(100)-&gt;by($request-&gt;user()?-&gt;id ?: $request-&gt;ip()));</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Connexion : 5 essais / minute / IP → puis blocage temporaire</w:t>
            </w:r>
          </w:p>
          <w:p>
            <w:pPr>
              <w:spacing w:after="0" w:line="240"/>
            </w:pPr>
            <w:r>
              <w:rPr>
                <w:rFonts w:ascii="Consolas" w:cs="Consolas" w:eastAsia="Consolas" w:hAnsi="Consolas"/>
                <w:sz w:val="17"/>
                <w:szCs w:val="17"/>
              </w:rPr>
              <w:t xml:space="preserve">RateLimiter::for('login', fn ($request) =&gt;</w:t>
            </w:r>
          </w:p>
          <w:p>
            <w:pPr>
              <w:spacing w:after="0" w:line="240"/>
            </w:pPr>
            <w:r>
              <w:rPr>
                <w:rFonts w:ascii="Consolas" w:cs="Consolas" w:eastAsia="Consolas" w:hAnsi="Consolas"/>
                <w:sz w:val="17"/>
                <w:szCs w:val="17"/>
              </w:rPr>
              <w:t xml:space="preserve">    Limit::perMinute(5)-&gt;by($request-&gt;ip()));</w:t>
            </w:r>
          </w:p>
        </w:tc>
      </w:tr>
    </w:tbl>
    <w:p>
      <w:pPr>
        <w:spacing w:after="160" w:before="60"/>
      </w:pPr>
      <w:r>
        <w:rPr>
          <w:i/>
          <w:iCs/>
          <w:color w:val="5A6B6F"/>
          <w:sz w:val="17"/>
          <w:szCs w:val="17"/>
        </w:rPr>
        <w:t xml:space="preserve">La limite de 5 essais sur /login matérialise l'exigence anti-bruteforce du cahier des charges.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0" w:sz="1"/>
              <w:left w:val="single" w:color="1B7A8C" w:sz="18"/>
              <w:bottom w:val="single" w:color="D9DEE0" w:sz="1"/>
              <w:right w:val="single" w:color="D9DEE0" w:sz="1"/>
            </w:tcBorders>
            <w:shd w:fill="F4F6F7"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routes/api.php</w:t>
            </w:r>
          </w:p>
          <w:p>
            <w:pPr>
              <w:spacing w:after="0" w:line="240"/>
            </w:pPr>
            <w:r>
              <w:rPr>
                <w:rFonts w:ascii="Consolas" w:cs="Consolas" w:eastAsia="Consolas" w:hAnsi="Consolas"/>
                <w:sz w:val="17"/>
                <w:szCs w:val="17"/>
              </w:rPr>
              <w:t xml:space="preserve">Route::post('/auth/login', [AuthController::class, 'login'])</w:t>
            </w:r>
          </w:p>
          <w:p>
            <w:pPr>
              <w:spacing w:after="0" w:line="240"/>
            </w:pPr>
            <w:r>
              <w:rPr>
                <w:rFonts w:ascii="Consolas" w:cs="Consolas" w:eastAsia="Consolas" w:hAnsi="Consolas"/>
                <w:sz w:val="17"/>
                <w:szCs w:val="17"/>
              </w:rPr>
              <w:t xml:space="preserve">    -&gt;middleware('throttle:login');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Route::middleware('throttle:api')-&gt;group(function () {</w:t>
            </w:r>
          </w:p>
          <w:p>
            <w:pPr>
              <w:spacing w:after="0" w:line="240"/>
            </w:pPr>
            <w:r>
              <w:rPr>
                <w:rFonts w:ascii="Consolas" w:cs="Consolas" w:eastAsia="Consolas" w:hAnsi="Consolas"/>
                <w:sz w:val="17"/>
                <w:szCs w:val="17"/>
              </w:rPr>
              <w:t xml:space="preserve">    // toutes les routes authentifiées</w:t>
            </w:r>
          </w:p>
          <w:p>
            <w:pPr>
              <w:spacing w:after="0" w:line="240"/>
            </w:pPr>
            <w:r>
              <w:rPr>
                <w:rFonts w:ascii="Consolas" w:cs="Consolas" w:eastAsia="Consolas" w:hAnsi="Consolas"/>
                <w:sz w:val="17"/>
                <w:szCs w:val="17"/>
              </w:rPr>
              <w:t xml:space="preserve">});</w:t>
            </w:r>
          </w:p>
        </w:tc>
      </w:tr>
    </w:tbl>
    <w:p>
      <w:pPr>
        <w:spacing w:after="120"/>
      </w:pPr>
    </w:p>
    <w:p>
      <w:pPr>
        <w:pStyle w:val="Heading2"/>
      </w:pPr>
      <w:r>
        <w:t xml:space="preserve">9.1 Anti-énumération de comptes</w:t>
      </w:r>
    </w:p>
    <w:p>
      <w:pPr>
        <w:spacing w:after="120" w:line="276"/>
        <w:jc w:val="both"/>
      </w:pPr>
      <w:r>
        <w:t xml:space="preserve">À l'inscription et à la récupération de mot de passe, le serveur renvoie </w:t>
      </w:r>
      <w:r>
        <w:rPr>
          <w:b/>
          <w:bCs/>
        </w:rPr>
        <w:t xml:space="preserve">le même message</w:t>
      </w:r>
      <w:r>
        <w:t xml:space="preserve"> que le compte existe ou non (« Si un compte existe, un e-mail a été envoyé »). Cela empêche un attaquant de découvrir quels e-mails sont enregistrés.</w:t>
      </w:r>
    </w:p>
    <w:p>
      <w:r>
        <w:br w:type="page"/>
      </w:r>
    </w:p>
    <w:p>
      <w:pPr>
        <w:pStyle w:val="Heading1"/>
      </w:pPr>
      <w:r>
        <w:t xml:space="preserve">10. Journal d'audit et conformité légale</w:t>
      </w:r>
    </w:p>
    <w:p>
      <w:pPr>
        <w:spacing w:after="120" w:line="276"/>
        <w:jc w:val="both"/>
      </w:pPr>
      <w:r>
        <w:t xml:space="preserve">La loi ivoirienne n°2013-450 impose la traçabilité des accès aux données personnelles et le droit du patient à savoir qui a consulté son dossier. La table </w:t>
      </w:r>
      <w:r>
        <w:rPr>
          <w:rFonts w:ascii="Consolas" w:cs="Consolas" w:eastAsia="Consolas" w:hAnsi="Consolas"/>
          <w:sz w:val="18"/>
          <w:szCs w:val="18"/>
        </w:rPr>
        <w:t xml:space="preserve">acces_dossier</w:t>
      </w:r>
      <w:r>
        <w:t xml:space="preserve"> du cahier des charges remplit ce rôle ; on la rend </w:t>
      </w:r>
      <w:r>
        <w:rPr>
          <w:b/>
          <w:bCs/>
        </w:rPr>
        <w:t xml:space="preserve">immuable</w:t>
      </w:r>
      <w:r>
        <w:t xml:space="preserve">.</w:t>
      </w:r>
    </w:p>
    <w:p>
      <w:pPr>
        <w:pStyle w:val="Heading2"/>
      </w:pPr>
      <w:r>
        <w:t xml:space="preserve">10.1 Ce qui est journalisé à chaque accès</w:t>
      </w:r>
    </w:p>
    <w:p>
      <w:pPr>
        <w:pStyle w:val="ListParagraph"/>
        <w:numPr>
          <w:ilvl w:val="0"/>
          <w:numId w:val="2"/>
        </w:numPr>
        <w:spacing w:after="80" w:line="268"/>
        <w:jc w:val="both"/>
      </w:pPr>
      <w:r>
        <w:t xml:space="preserve">Identité de l'agent ou du médecin ayant accédé au dossier</w:t>
      </w:r>
    </w:p>
    <w:p>
      <w:pPr>
        <w:pStyle w:val="ListParagraph"/>
        <w:numPr>
          <w:ilvl w:val="0"/>
          <w:numId w:val="2"/>
        </w:numPr>
        <w:spacing w:after="80" w:line="268"/>
        <w:jc w:val="both"/>
      </w:pPr>
      <w:r>
        <w:t xml:space="preserve">Établissement et type d'accès (qr_scan / referent / admin)</w:t>
      </w:r>
    </w:p>
    <w:p>
      <w:pPr>
        <w:pStyle w:val="ListParagraph"/>
        <w:numPr>
          <w:ilvl w:val="0"/>
          <w:numId w:val="2"/>
        </w:numPr>
        <w:spacing w:after="80" w:line="268"/>
        <w:jc w:val="both"/>
      </w:pPr>
      <w:r>
        <w:t xml:space="preserve">Date, heure, durée de la session, adresse IP</w:t>
      </w:r>
    </w:p>
    <w:p>
      <w:pPr>
        <w:pStyle w:val="ListParagraph"/>
        <w:numPr>
          <w:ilvl w:val="0"/>
          <w:numId w:val="2"/>
        </w:numPr>
        <w:spacing w:after="80" w:line="268"/>
        <w:jc w:val="both"/>
      </w:pPr>
      <w:r>
        <w:t xml:space="preserve">Sections consultées et résumé des données ajoutées (en JSON)</w:t>
      </w:r>
    </w:p>
    <w:p>
      <w:pPr>
        <w:pStyle w:val="ListParagraph"/>
        <w:numPr>
          <w:ilvl w:val="0"/>
          <w:numId w:val="2"/>
        </w:numPr>
        <w:spacing w:after="80" w:line="268"/>
        <w:jc w:val="both"/>
      </w:pPr>
      <w:r>
        <w:t xml:space="preserve">Token QR utilisé (référence vers </w:t>
      </w:r>
      <w:r>
        <w:rPr>
          <w:rFonts w:ascii="Consolas" w:cs="Consolas" w:eastAsia="Consolas" w:hAnsi="Consolas"/>
          <w:sz w:val="18"/>
          <w:szCs w:val="18"/>
        </w:rPr>
        <w:t xml:space="preserve">tokens_qr</w:t>
      </w:r>
      <w:r>
        <w:t xml:space="preserve">)</w:t>
      </w:r>
    </w:p>
    <w:p>
      <w:pPr>
        <w:pStyle w:val="Heading2"/>
      </w:pPr>
      <w:r>
        <w:t xml:space="preserve">10.2 Garantir l'immuabilité</w:t>
      </w:r>
    </w:p>
    <w:p>
      <w:pPr>
        <w:spacing w:after="120" w:line="276"/>
        <w:jc w:val="both"/>
      </w:pPr>
      <w:r>
        <w:t xml:space="preserve">Un journal d'audit modifiable ne vaut rien. On interdit toute modification ou suppression après écriture.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0" w:sz="1"/>
              <w:left w:val="single" w:color="1B7A8C" w:sz="18"/>
              <w:bottom w:val="single" w:color="D9DEE0" w:sz="1"/>
              <w:right w:val="single" w:color="D9DEE0" w:sz="1"/>
            </w:tcBorders>
            <w:shd w:fill="F4F6F7"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app/Models/AccesDossier.php</w:t>
            </w:r>
          </w:p>
          <w:p>
            <w:pPr>
              <w:spacing w:after="0" w:line="240"/>
            </w:pPr>
            <w:r>
              <w:rPr>
                <w:rFonts w:ascii="Consolas" w:cs="Consolas" w:eastAsia="Consolas" w:hAnsi="Consolas"/>
                <w:sz w:val="17"/>
                <w:szCs w:val="17"/>
              </w:rPr>
              <w:t xml:space="preserve">protected static function booted(): void</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static::updating(fn () =&gt; abort(403, 'Journal d audit immuable'));</w:t>
            </w:r>
          </w:p>
          <w:p>
            <w:pPr>
              <w:spacing w:after="0" w:line="240"/>
            </w:pPr>
            <w:r>
              <w:rPr>
                <w:rFonts w:ascii="Consolas" w:cs="Consolas" w:eastAsia="Consolas" w:hAnsi="Consolas"/>
                <w:sz w:val="17"/>
                <w:szCs w:val="17"/>
              </w:rPr>
              <w:t xml:space="preserve">    static::deleting(fn () =&gt; abort(403, 'Journal d audit immuable'));</w:t>
            </w:r>
          </w:p>
          <w:p>
            <w:pPr>
              <w:spacing w:after="0" w:line="240"/>
            </w:pPr>
            <w:r>
              <w:rPr>
                <w:rFonts w:ascii="Consolas" w:cs="Consolas" w:eastAsia="Consolas" w:hAnsi="Consolas"/>
                <w:sz w:val="17"/>
                <w:szCs w:val="17"/>
              </w:rPr>
              <w:t xml:space="preserve">}</w:t>
            </w:r>
          </w:p>
        </w:tc>
      </w:tr>
    </w:tbl>
    <w:p>
      <w:pPr>
        <w:spacing w:after="160" w:before="60"/>
      </w:pPr>
      <w:r>
        <w:rPr>
          <w:i/>
          <w:iCs/>
          <w:color w:val="5A6B6F"/>
          <w:sz w:val="17"/>
          <w:szCs w:val="17"/>
        </w:rPr>
        <w:t xml:space="preserve">Au niveau base, on peut aussi retirer les droits UPDATE/DELETE sur cette table au compte applicatif MySQL : seul INSERT est permis.</w:t>
      </w:r>
    </w:p>
    <w:p>
      <w:pPr>
        <w:pStyle w:val="Heading2"/>
      </w:pPr>
      <w:r>
        <w:t xml:space="preserve">10.3 Droit d'accès du patient</w:t>
      </w:r>
    </w:p>
    <w:p>
      <w:pPr>
        <w:spacing w:after="120" w:line="276"/>
        <w:jc w:val="both"/>
      </w:pPr>
      <w:r>
        <w:t xml:space="preserve">L'endpoint </w:t>
      </w:r>
      <w:r>
        <w:rPr>
          <w:rFonts w:ascii="Consolas" w:cs="Consolas" w:eastAsia="Consolas" w:hAnsi="Consolas"/>
          <w:sz w:val="18"/>
          <w:szCs w:val="18"/>
        </w:rPr>
        <w:t xml:space="preserve">GET /api/audit/{membre_id}</w:t>
      </w:r>
      <w:r>
        <w:t xml:space="preserve"> permet au patient de consulter lui-même l'historique complet des accès à son dossier — application directe du </w:t>
      </w:r>
      <w:r>
        <w:rPr>
          <w:b/>
          <w:bCs/>
        </w:rPr>
        <w:t xml:space="preserve">droit d'accès et de transparence</w:t>
      </w:r>
      <w:r>
        <w:t xml:space="preserve"> prévu par la loi n°2013-450.</w:t>
      </w:r>
    </w:p>
    <w:p>
      <w:pPr>
        <w:pStyle w:val="Heading2"/>
      </w:pPr>
      <w:r>
        <w:t xml:space="preserve">10.4 Correspondance avec le cadre juridique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CDD0" w:sz="1"/>
              <w:left w:val="single" w:color="BFCDD0" w:sz="1"/>
              <w:bottom w:val="single" w:color="BFCDD0" w:sz="1"/>
              <w:right w:val="single" w:color="BFCDD0" w:sz="1"/>
            </w:tcBorders>
            <w:shd w:fill="0F5C6B" w:val="clear"/>
            <w:tcMar>
              <w:top w:type="dxa" w:w="70"/>
              <w:left w:type="dxa" w:w="110"/>
              <w:bottom w:type="dxa" w:w="70"/>
              <w:right w:type="dxa" w:w="110"/>
            </w:tcMar>
            <w:vAlign w:val="center"/>
          </w:tcPr>
          <w:p>
            <w:pPr>
              <w:spacing w:after="0" w:line="252"/>
              <w:jc w:val="left"/>
            </w:pPr>
            <w:r>
              <w:rPr>
                <w:b/>
                <w:bCs/>
                <w:color w:val="FFFFFF"/>
                <w:sz w:val="19"/>
                <w:szCs w:val="19"/>
              </w:rPr>
              <w:t xml:space="preserve">Exigence légale / ARTCI</w:t>
            </w:r>
          </w:p>
        </w:tc>
        <w:tc>
          <w:tcPr>
            <w:tcW w:type="dxa" w:w="5360"/>
            <w:tcBorders>
              <w:top w:val="single" w:color="BFCDD0" w:sz="1"/>
              <w:left w:val="single" w:color="BFCDD0" w:sz="1"/>
              <w:bottom w:val="single" w:color="BFCDD0" w:sz="1"/>
              <w:right w:val="single" w:color="BFCDD0" w:sz="1"/>
            </w:tcBorders>
            <w:shd w:fill="0F5C6B" w:val="clear"/>
            <w:tcMar>
              <w:top w:type="dxa" w:w="70"/>
              <w:left w:type="dxa" w:w="110"/>
              <w:bottom w:type="dxa" w:w="70"/>
              <w:right w:type="dxa" w:w="110"/>
            </w:tcMar>
            <w:vAlign w:val="center"/>
          </w:tcPr>
          <w:p>
            <w:pPr>
              <w:spacing w:after="0" w:line="252"/>
              <w:jc w:val="left"/>
            </w:pPr>
            <w:r>
              <w:rPr>
                <w:b/>
                <w:bCs/>
                <w:color w:val="FFFFFF"/>
                <w:sz w:val="19"/>
                <w:szCs w:val="19"/>
              </w:rPr>
              <w:t xml:space="preserve">Mesure IVOIRSANTÉ</w:t>
            </w:r>
          </w:p>
        </w:tc>
      </w:tr>
      <w:tr>
        <w:tc>
          <w:tcPr>
            <w:tcW w:type="dxa" w:w="40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Traçabilité des accès (loi 2013-450)</w:t>
            </w:r>
          </w:p>
        </w:tc>
        <w:tc>
          <w:tcPr>
            <w:tcW w:type="dxa" w:w="536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Journal acces_dossier immuable</w:t>
            </w:r>
          </w:p>
        </w:tc>
      </w:tr>
      <w:tr>
        <w:tc>
          <w:tcPr>
            <w:tcW w:type="dxa" w:w="40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Minimisation des données</w:t>
            </w:r>
          </w:p>
        </w:tc>
        <w:tc>
          <w:tcPr>
            <w:tcW w:type="dxa" w:w="536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Matricule jamais exposé, données strictement utiles</w:t>
            </w:r>
          </w:p>
        </w:tc>
      </w:tr>
      <w:tr>
        <w:tc>
          <w:tcPr>
            <w:tcW w:type="dxa" w:w="40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Droit d'accès et de rectification</w:t>
            </w:r>
          </w:p>
        </w:tc>
        <w:tc>
          <w:tcPr>
            <w:tcW w:type="dxa" w:w="536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Endpoints de consultation et de correction du dossier</w:t>
            </w:r>
          </w:p>
        </w:tc>
      </w:tr>
      <w:tr>
        <w:tc>
          <w:tcPr>
            <w:tcW w:type="dxa" w:w="40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Confidentialité des données de santé (OMS mHealth)</w:t>
            </w:r>
          </w:p>
        </w:tc>
        <w:tc>
          <w:tcPr>
            <w:tcW w:type="dxa" w:w="536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AES-256 + accès contrôlé par QR/référent</w:t>
            </w:r>
          </w:p>
        </w:tc>
      </w:tr>
      <w:tr>
        <w:tc>
          <w:tcPr>
            <w:tcW w:type="dxa" w:w="40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Consentement / contrôle du patient</w:t>
            </w:r>
          </w:p>
        </w:tc>
        <w:tc>
          <w:tcPr>
            <w:tcW w:type="dxa" w:w="536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Médecin référent désignable et révocable</w:t>
            </w:r>
          </w:p>
        </w:tc>
      </w:tr>
    </w:tbl>
    <w:p>
      <w:r>
        <w:br w:type="page"/>
      </w:r>
    </w:p>
    <w:p>
      <w:pPr>
        <w:pStyle w:val="Heading1"/>
      </w:pPr>
      <w:r>
        <w:t xml:space="preserve">11. Sécurité de Firebase (temps réel et notifications)</w:t>
      </w:r>
    </w:p>
    <w:p>
      <w:pPr>
        <w:spacing w:after="120" w:line="276"/>
        <w:jc w:val="both"/>
      </w:pPr>
      <w:r>
        <w:t xml:space="preserve">Firebase porte deux usages : les disponibilités des hôpitaux en temps réel (Realtime Database) et les notifications push (FCM). Par défaut, une base Firebase mal configurée est </w:t>
      </w:r>
      <w:r>
        <w:rPr>
          <w:b/>
          <w:bCs/>
        </w:rPr>
        <w:t xml:space="preserve">ouverte en lecture/écriture</w:t>
      </w:r>
      <w:r>
        <w:t xml:space="preserve"> — erreur fréquente et grave.</w:t>
      </w:r>
    </w:p>
    <w:p>
      <w:pPr>
        <w:pStyle w:val="Heading2"/>
      </w:pPr>
      <w:r>
        <w:t xml:space="preserve">11.1 Règles de sécurité Realtime Database</w:t>
      </w:r>
    </w:p>
    <w:p>
      <w:pPr>
        <w:spacing w:after="120" w:line="276"/>
        <w:jc w:val="both"/>
      </w:pPr>
      <w:r>
        <w:t xml:space="preserve">On n'expose dans Firebase que des données non sensibles (statut de disponibilité d'un service). Aucune donnée médicale ne transite par Firebase.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0" w:sz="1"/>
              <w:left w:val="single" w:color="1B7A8C" w:sz="18"/>
              <w:bottom w:val="single" w:color="D9DEE0" w:sz="1"/>
              <w:right w:val="single" w:color="D9DEE0" w:sz="1"/>
            </w:tcBorders>
            <w:shd w:fill="F4F6F7"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"rules": {</w:t>
            </w:r>
          </w:p>
          <w:p>
            <w:pPr>
              <w:spacing w:after="0" w:line="240"/>
            </w:pPr>
            <w:r>
              <w:rPr>
                <w:rFonts w:ascii="Consolas" w:cs="Consolas" w:eastAsia="Consolas" w:hAnsi="Consolas"/>
                <w:sz w:val="17"/>
                <w:szCs w:val="17"/>
              </w:rPr>
              <w:t xml:space="preserve">    "disponibilites": {</w:t>
            </w:r>
          </w:p>
          <w:p>
            <w:pPr>
              <w:spacing w:after="0" w:line="240"/>
            </w:pPr>
            <w:r>
              <w:rPr>
                <w:rFonts w:ascii="Consolas" w:cs="Consolas" w:eastAsia="Consolas" w:hAnsi="Consolas"/>
                <w:sz w:val="17"/>
                <w:szCs w:val="17"/>
              </w:rPr>
              <w:t xml:space="preserve">      ".read": true,                       // lecture publique : statut hôpital</w:t>
            </w:r>
          </w:p>
          <w:p>
            <w:pPr>
              <w:spacing w:after="0" w:line="240"/>
            </w:pPr>
            <w:r>
              <w:rPr>
                <w:rFonts w:ascii="Consolas" w:cs="Consolas" w:eastAsia="Consolas" w:hAnsi="Consolas"/>
                <w:sz w:val="17"/>
                <w:szCs w:val="17"/>
              </w:rPr>
              <w:t xml:space="preserve">      "$service_id": {</w:t>
            </w:r>
          </w:p>
          <w:p>
            <w:pPr>
              <w:spacing w:after="0" w:line="240"/>
            </w:pPr>
            <w:r>
              <w:rPr>
                <w:rFonts w:ascii="Consolas" w:cs="Consolas" w:eastAsia="Consolas" w:hAnsi="Consolas"/>
                <w:sz w:val="17"/>
                <w:szCs w:val="17"/>
              </w:rPr>
              <w:t xml:space="preserve">        // écriture réservée à un agent authentifié de CE service</w:t>
            </w:r>
          </w:p>
          <w:p>
            <w:pPr>
              <w:spacing w:after="0" w:line="240"/>
            </w:pPr>
            <w:r>
              <w:rPr>
                <w:rFonts w:ascii="Consolas" w:cs="Consolas" w:eastAsia="Consolas" w:hAnsi="Consolas"/>
                <w:sz w:val="17"/>
                <w:szCs w:val="17"/>
              </w:rPr>
              <w:t xml:space="preserve">        ".write": "auth != null &amp;&amp; auth.token.service_id === $service_id"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"$autre": { ".read": false, ".write": false }  // tout le reste fermé</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tc>
      </w:tr>
    </w:tbl>
    <w:p>
      <w:pPr>
        <w:spacing w:after="160" w:before="60"/>
      </w:pPr>
      <w:r>
        <w:rPr>
          <w:i/>
          <w:iCs/>
          <w:color w:val="5A6B6F"/>
          <w:sz w:val="17"/>
          <w:szCs w:val="17"/>
        </w:rPr>
        <w:t xml:space="preserve">Le principe « tout fermé par défaut, on ouvre l'exception » s'applique aussi à Firebase.</w:t>
      </w:r>
    </w:p>
    <w:p>
      <w:pPr>
        <w:pStyle w:val="Heading2"/>
      </w:pPr>
      <w:r>
        <w:t xml:space="preserve">11.2 Jetons de notification (FCM)</w:t>
      </w:r>
    </w:p>
    <w:p>
      <w:pPr>
        <w:pStyle w:val="ListParagraph"/>
        <w:numPr>
          <w:ilvl w:val="0"/>
          <w:numId w:val="2"/>
        </w:numPr>
        <w:spacing w:after="80" w:line="268"/>
        <w:jc w:val="both"/>
      </w:pPr>
      <w:r>
        <w:rPr>
          <w:b/>
          <w:bCs/>
        </w:rPr>
        <w:t xml:space="preserve">Stockage — </w:t>
      </w:r>
      <w:r>
        <w:t xml:space="preserve">le token FCM de l'appareil est lié au compte côté serveur ; à la déconnexion, on le supprime pour ne plus notifier un appareil détaché.</w:t>
      </w:r>
    </w:p>
    <w:p>
      <w:pPr>
        <w:pStyle w:val="ListParagraph"/>
        <w:numPr>
          <w:ilvl w:val="0"/>
          <w:numId w:val="2"/>
        </w:numPr>
        <w:spacing w:after="80" w:line="268"/>
        <w:jc w:val="both"/>
      </w:pPr>
      <w:r>
        <w:rPr>
          <w:b/>
          <w:bCs/>
        </w:rPr>
        <w:t xml:space="preserve">Contenu — </w:t>
      </w:r>
      <w:r>
        <w:t xml:space="preserve">une notification push ne contient jamais de donnée médicale : seulement un libellé neutre (« Votre dossier a été consulté ») et un identifiant pour charger le détail dans l'app, après authentification.</w:t>
      </w:r>
    </w:p>
    <w:p>
      <w:pPr>
        <w:pStyle w:val="ListParagraph"/>
        <w:numPr>
          <w:ilvl w:val="0"/>
          <w:numId w:val="2"/>
        </w:numPr>
        <w:spacing w:after="80" w:line="268"/>
        <w:jc w:val="both"/>
      </w:pPr>
      <w:r>
        <w:rPr>
          <w:b/>
          <w:bCs/>
        </w:rPr>
        <w:t xml:space="preserve">Clé serveur FCM — </w:t>
      </w:r>
      <w:r>
        <w:t xml:space="preserve">conservée côté backend uniquement, jamais dans l'app mobile.</w:t>
      </w:r>
    </w:p>
    <w:p>
      <w:r>
        <w:br w:type="page"/>
      </w:r>
    </w:p>
    <w:p>
      <w:pPr>
        <w:pStyle w:val="Heading1"/>
      </w:pPr>
      <w:r>
        <w:t xml:space="preserve">12. Matrice récapitulative de sécurité</w:t>
      </w:r>
    </w:p>
    <w:p>
      <w:pPr>
        <w:spacing w:after="120" w:line="276"/>
        <w:jc w:val="both"/>
      </w:pPr>
      <w:r>
        <w:t xml:space="preserve">Vue d'ensemble : chaque mesure, la menace qu'elle combat, son implémentation concrète et le référentiel associé. C'est le tableau de synthèse à présenter en soutenance.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350"/>
        <w:gridCol w:w="3160"/>
        <w:gridCol w:w="1800"/>
      </w:tblGrid>
      <w:tr>
        <w:trPr>
          <w:tblHeader/>
        </w:trPr>
        <w:tc>
          <w:tcPr>
            <w:tcW w:type="dxa" w:w="2050"/>
            <w:tcBorders>
              <w:top w:val="single" w:color="BFCDD0" w:sz="1"/>
              <w:left w:val="single" w:color="BFCDD0" w:sz="1"/>
              <w:bottom w:val="single" w:color="BFCDD0" w:sz="1"/>
              <w:right w:val="single" w:color="BFCDD0" w:sz="1"/>
            </w:tcBorders>
            <w:shd w:fill="0F5C6B" w:val="clear"/>
            <w:tcMar>
              <w:top w:type="dxa" w:w="70"/>
              <w:left w:type="dxa" w:w="110"/>
              <w:bottom w:type="dxa" w:w="70"/>
              <w:right w:type="dxa" w:w="110"/>
            </w:tcMar>
            <w:vAlign w:val="center"/>
          </w:tcPr>
          <w:p>
            <w:pPr>
              <w:spacing w:after="0" w:line="252"/>
              <w:jc w:val="left"/>
            </w:pPr>
            <w:r>
              <w:rPr>
                <w:b/>
                <w:bCs/>
                <w:color w:val="FFFFFF"/>
                <w:sz w:val="19"/>
                <w:szCs w:val="19"/>
              </w:rPr>
              <w:t xml:space="preserve">Mesure</w:t>
            </w:r>
          </w:p>
        </w:tc>
        <w:tc>
          <w:tcPr>
            <w:tcW w:type="dxa" w:w="2350"/>
            <w:tcBorders>
              <w:top w:val="single" w:color="BFCDD0" w:sz="1"/>
              <w:left w:val="single" w:color="BFCDD0" w:sz="1"/>
              <w:bottom w:val="single" w:color="BFCDD0" w:sz="1"/>
              <w:right w:val="single" w:color="BFCDD0" w:sz="1"/>
            </w:tcBorders>
            <w:shd w:fill="0F5C6B" w:val="clear"/>
            <w:tcMar>
              <w:top w:type="dxa" w:w="70"/>
              <w:left w:type="dxa" w:w="110"/>
              <w:bottom w:type="dxa" w:w="70"/>
              <w:right w:type="dxa" w:w="110"/>
            </w:tcMar>
            <w:vAlign w:val="center"/>
          </w:tcPr>
          <w:p>
            <w:pPr>
              <w:spacing w:after="0" w:line="252"/>
              <w:jc w:val="left"/>
            </w:pPr>
            <w:r>
              <w:rPr>
                <w:b/>
                <w:bCs/>
                <w:color w:val="FFFFFF"/>
                <w:sz w:val="19"/>
                <w:szCs w:val="19"/>
              </w:rPr>
              <w:t xml:space="preserve">Menace combattue</w:t>
            </w:r>
          </w:p>
        </w:tc>
        <w:tc>
          <w:tcPr>
            <w:tcW w:type="dxa" w:w="3160"/>
            <w:tcBorders>
              <w:top w:val="single" w:color="BFCDD0" w:sz="1"/>
              <w:left w:val="single" w:color="BFCDD0" w:sz="1"/>
              <w:bottom w:val="single" w:color="BFCDD0" w:sz="1"/>
              <w:right w:val="single" w:color="BFCDD0" w:sz="1"/>
            </w:tcBorders>
            <w:shd w:fill="0F5C6B" w:val="clear"/>
            <w:tcMar>
              <w:top w:type="dxa" w:w="70"/>
              <w:left w:type="dxa" w:w="110"/>
              <w:bottom w:type="dxa" w:w="70"/>
              <w:right w:type="dxa" w:w="110"/>
            </w:tcMar>
            <w:vAlign w:val="center"/>
          </w:tcPr>
          <w:p>
            <w:pPr>
              <w:spacing w:after="0" w:line="252"/>
              <w:jc w:val="left"/>
            </w:pPr>
            <w:r>
              <w:rPr>
                <w:b/>
                <w:bCs/>
                <w:color w:val="FFFFFF"/>
                <w:sz w:val="19"/>
                <w:szCs w:val="19"/>
              </w:rPr>
              <w:t xml:space="preserve">Implémentation Laravel / Expo</w:t>
            </w:r>
          </w:p>
        </w:tc>
        <w:tc>
          <w:tcPr>
            <w:tcW w:type="dxa" w:w="1800"/>
            <w:tcBorders>
              <w:top w:val="single" w:color="BFCDD0" w:sz="1"/>
              <w:left w:val="single" w:color="BFCDD0" w:sz="1"/>
              <w:bottom w:val="single" w:color="BFCDD0" w:sz="1"/>
              <w:right w:val="single" w:color="BFCDD0" w:sz="1"/>
            </w:tcBorders>
            <w:shd w:fill="0F5C6B" w:val="clear"/>
            <w:tcMar>
              <w:top w:type="dxa" w:w="70"/>
              <w:left w:type="dxa" w:w="110"/>
              <w:bottom w:type="dxa" w:w="70"/>
              <w:right w:type="dxa" w:w="110"/>
            </w:tcMar>
            <w:vAlign w:val="center"/>
          </w:tcPr>
          <w:p>
            <w:pPr>
              <w:spacing w:after="0" w:line="252"/>
              <w:jc w:val="left"/>
            </w:pPr>
            <w:r>
              <w:rPr>
                <w:b/>
                <w:bCs/>
                <w:color w:val="FFFFFF"/>
                <w:sz w:val="19"/>
                <w:szCs w:val="19"/>
              </w:rPr>
              <w:t xml:space="preserve">Référentiel</w:t>
            </w:r>
          </w:p>
        </w:tc>
      </w:tr>
      <w:tr>
        <w:tc>
          <w:tcPr>
            <w:tcW w:type="dxa" w:w="205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Auth par token + activation e-mail</w:t>
            </w:r>
          </w:p>
        </w:tc>
        <w:tc>
          <w:tcPr>
            <w:tcW w:type="dxa" w:w="235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Vol de credentials, session hijacking</w:t>
            </w:r>
          </w:p>
        </w:tc>
        <w:tc>
          <w:tcPr>
            <w:tcW w:type="dxa" w:w="316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jwt-auth (ou Sanctum), lien usage unique, access 15 min</w:t>
            </w:r>
          </w:p>
        </w:tc>
        <w:tc>
          <w:tcPr>
            <w:tcW w:type="dxa" w:w="18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OWASP A07</w:t>
            </w:r>
          </w:p>
        </w:tc>
      </w:tr>
      <w:tr>
        <w:tc>
          <w:tcPr>
            <w:tcW w:type="dxa" w:w="205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RBAC 3 niveaux + Policies</w:t>
            </w:r>
          </w:p>
        </w:tc>
        <w:tc>
          <w:tcPr>
            <w:tcW w:type="dxa" w:w="235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Élévation de privilèges, IDOR</w:t>
            </w:r>
          </w:p>
        </w:tc>
        <w:tc>
          <w:tcPr>
            <w:tcW w:type="dxa" w:w="316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spatie/laravel-permission, authorize()</w:t>
            </w:r>
          </w:p>
        </w:tc>
        <w:tc>
          <w:tcPr>
            <w:tcW w:type="dxa" w:w="18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OWASP A01</w:t>
            </w:r>
          </w:p>
        </w:tc>
      </w:tr>
      <w:tr>
        <w:tc>
          <w:tcPr>
            <w:tcW w:type="dxa" w:w="205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QR Code TOTP usage unique</w:t>
            </w:r>
          </w:p>
        </w:tc>
        <w:tc>
          <w:tcPr>
            <w:tcW w:type="dxa" w:w="235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Rejeu, réutilisation du dossier</w:t>
            </w:r>
          </w:p>
        </w:tc>
        <w:tc>
          <w:tcPr>
            <w:tcW w:type="dxa" w:w="316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HMAC-SHA256, lockForUpdate, expiration 10 min</w:t>
            </w:r>
          </w:p>
        </w:tc>
        <w:tc>
          <w:tcPr>
            <w:tcW w:type="dxa" w:w="18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OWASP A08</w:t>
            </w:r>
          </w:p>
        </w:tc>
      </w:tr>
      <w:tr>
        <w:tc>
          <w:tcPr>
            <w:tcW w:type="dxa" w:w="205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Chiffrement AES-256</w:t>
            </w:r>
          </w:p>
        </w:tc>
        <w:tc>
          <w:tcPr>
            <w:tcW w:type="dxa" w:w="235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Vol de base de données</w:t>
            </w:r>
          </w:p>
        </w:tc>
        <w:tc>
          <w:tcPr>
            <w:tcW w:type="dxa" w:w="316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Casts encrypted, clé hors base</w:t>
            </w:r>
          </w:p>
        </w:tc>
        <w:tc>
          <w:tcPr>
            <w:tcW w:type="dxa" w:w="18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Loi 2013-450</w:t>
            </w:r>
          </w:p>
        </w:tc>
      </w:tr>
      <w:tr>
        <w:tc>
          <w:tcPr>
            <w:tcW w:type="dxa" w:w="205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TLS 1.3 + HSTS + pinning</w:t>
            </w:r>
          </w:p>
        </w:tc>
        <w:tc>
          <w:tcPr>
            <w:tcW w:type="dxa" w:w="235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Man-In-The-Middle</w:t>
            </w:r>
          </w:p>
        </w:tc>
        <w:tc>
          <w:tcPr>
            <w:tcW w:type="dxa" w:w="316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Middleware en-têtes, pinning natif Expo</w:t>
            </w:r>
          </w:p>
        </w:tc>
        <w:tc>
          <w:tcPr>
            <w:tcW w:type="dxa" w:w="18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OWASP A02</w:t>
            </w:r>
          </w:p>
        </w:tc>
      </w:tr>
      <w:tr>
        <w:tc>
          <w:tcPr>
            <w:tcW w:type="dxa" w:w="205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Validation Form Requests</w:t>
            </w:r>
          </w:p>
        </w:tc>
        <w:tc>
          <w:tcPr>
            <w:tcW w:type="dxa" w:w="235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Injection SQL / XSS</w:t>
            </w:r>
          </w:p>
        </w:tc>
        <w:tc>
          <w:tcPr>
            <w:tcW w:type="dxa" w:w="316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Eloquent, règles de validation, Blade</w:t>
            </w:r>
          </w:p>
        </w:tc>
        <w:tc>
          <w:tcPr>
            <w:tcW w:type="dxa" w:w="18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OWASP A03</w:t>
            </w:r>
          </w:p>
        </w:tc>
      </w:tr>
      <w:tr>
        <w:tc>
          <w:tcPr>
            <w:tcW w:type="dxa" w:w="205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Rate limiting</w:t>
            </w:r>
          </w:p>
        </w:tc>
        <w:tc>
          <w:tcPr>
            <w:tcW w:type="dxa" w:w="235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Force brute, DoS, énumération</w:t>
            </w:r>
          </w:p>
        </w:tc>
        <w:tc>
          <w:tcPr>
            <w:tcW w:type="dxa" w:w="316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RateLimiter 100/min, login 5/min</w:t>
            </w:r>
          </w:p>
        </w:tc>
        <w:tc>
          <w:tcPr>
            <w:tcW w:type="dxa" w:w="18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OWASP A07</w:t>
            </w:r>
          </w:p>
        </w:tc>
      </w:tr>
      <w:tr>
        <w:tc>
          <w:tcPr>
            <w:tcW w:type="dxa" w:w="205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Journal d'audit immuable</w:t>
            </w:r>
          </w:p>
        </w:tc>
        <w:tc>
          <w:tcPr>
            <w:tcW w:type="dxa" w:w="235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Répudiation, accès non détecté</w:t>
            </w:r>
          </w:p>
        </w:tc>
        <w:tc>
          <w:tcPr>
            <w:tcW w:type="dxa" w:w="316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acces_dossier, updating/deleting bloqués</w:t>
            </w:r>
          </w:p>
        </w:tc>
        <w:tc>
          <w:tcPr>
            <w:tcW w:type="dxa" w:w="18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Loi 2013-450</w:t>
            </w:r>
          </w:p>
        </w:tc>
      </w:tr>
      <w:tr>
        <w:tc>
          <w:tcPr>
            <w:tcW w:type="dxa" w:w="205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Règles Firebase fermées</w:t>
            </w:r>
          </w:p>
        </w:tc>
        <w:tc>
          <w:tcPr>
            <w:tcW w:type="dxa" w:w="235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Fuite via base temps réel ouverte</w:t>
            </w:r>
          </w:p>
        </w:tc>
        <w:tc>
          <w:tcPr>
            <w:tcW w:type="dxa" w:w="316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Rules .read/.write restrictives</w:t>
            </w:r>
          </w:p>
        </w:tc>
        <w:tc>
          <w:tcPr>
            <w:tcW w:type="dxa" w:w="1800"/>
            <w:tcBorders>
              <w:top w:val="single" w:color="BFCDD0" w:sz="1"/>
              <w:left w:val="single" w:color="BFCDD0" w:sz="1"/>
              <w:bottom w:val="single" w:color="BFCDD0" w:sz="1"/>
              <w:right w:val="single" w:color="BFCDD0" w:sz="1"/>
            </w:tcBorders>
            <w:tcMar>
              <w:top w:type="dxa" w:w="70"/>
              <w:left w:type="dxa" w:w="110"/>
              <w:bottom w:type="dxa" w:w="70"/>
              <w:right w:type="dxa" w:w="110"/>
            </w:tcMar>
            <w:vAlign w:val="center"/>
          </w:tcPr>
          <w:p>
            <w:pPr>
              <w:spacing w:after="0" w:line="252"/>
              <w:jc w:val="left"/>
            </w:pPr>
            <w:r>
              <w:rPr>
                <w:sz w:val="19"/>
                <w:szCs w:val="19"/>
              </w:rPr>
              <w:t xml:space="preserve">OWASP A05</w:t>
            </w:r>
          </w:p>
        </w:tc>
      </w:tr>
      <w:tr>
        <w:tc>
          <w:tcPr>
            <w:tcW w:type="dxa" w:w="205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expo-secure-store</w:t>
            </w:r>
          </w:p>
        </w:tc>
        <w:tc>
          <w:tcPr>
            <w:tcW w:type="dxa" w:w="235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Vol de token sur téléphone</w:t>
            </w:r>
          </w:p>
        </w:tc>
        <w:tc>
          <w:tcPr>
            <w:tcW w:type="dxa" w:w="316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Keychain iOS / Keystore Android</w:t>
            </w:r>
          </w:p>
        </w:tc>
        <w:tc>
          <w:tcPr>
            <w:tcW w:type="dxa" w:w="1800"/>
            <w:tcBorders>
              <w:top w:val="single" w:color="BFCDD0" w:sz="1"/>
              <w:left w:val="single" w:color="BFCDD0" w:sz="1"/>
              <w:bottom w:val="single" w:color="BFCDD0" w:sz="1"/>
              <w:right w:val="single" w:color="BFCDD0" w:sz="1"/>
            </w:tcBorders>
            <w:shd w:fill="EEF4F5" w:val="clear"/>
            <w:tcMar>
              <w:top w:type="dxa" w:w="70"/>
              <w:left w:type="dxa" w:w="110"/>
              <w:bottom w:type="dxa" w:w="70"/>
              <w:right w:type="dxa" w:w="110"/>
            </w:tcMar>
            <w:vAlign w:val="center"/>
          </w:tcPr>
          <w:p>
            <w:pPr>
              <w:spacing w:after="0" w:line="252"/>
              <w:jc w:val="left"/>
            </w:pPr>
            <w:r>
              <w:rPr>
                <w:sz w:val="19"/>
                <w:szCs w:val="19"/>
              </w:rPr>
              <w:t xml:space="preserve">OWASP MASVS</w:t>
            </w:r>
          </w:p>
        </w:tc>
      </w:tr>
    </w:tbl>
    <w:p>
      <w:pPr>
        <w:spacing w:after="200"/>
      </w:pPr>
    </w:p>
    <w:p>
      <w:pPr>
        <w:pStyle w:val="Heading2"/>
      </w:pPr>
      <w:r>
        <w:t xml:space="preserve">Synthèse des écarts proposés par rapport au cahier des charges</w:t>
      </w:r>
    </w:p>
    <w:p>
      <w:pPr>
        <w:pStyle w:val="ListParagraph"/>
        <w:numPr>
          <w:ilvl w:val="0"/>
          <w:numId w:val="4"/>
        </w:numPr>
        <w:spacing w:after="80" w:line="268"/>
        <w:jc w:val="both"/>
      </w:pPr>
      <w:r>
        <w:rPr>
          <w:b/>
          <w:bCs/>
        </w:rPr>
        <w:t xml:space="preserve">Durée du token d'accès — </w:t>
      </w:r>
      <w:r>
        <w:t xml:space="preserve">réduite de 24 h à 15 min avec rotation du refresh. Écart le plus important, justifié par la sensibilité des données.</w:t>
      </w:r>
    </w:p>
    <w:p>
      <w:pPr>
        <w:pStyle w:val="ListParagraph"/>
        <w:numPr>
          <w:ilvl w:val="0"/>
          <w:numId w:val="4"/>
        </w:numPr>
        <w:spacing w:after="80" w:line="268"/>
        <w:jc w:val="both"/>
      </w:pPr>
      <w:r>
        <w:rPr>
          <w:b/>
          <w:bCs/>
        </w:rPr>
        <w:t xml:space="preserve">Alternative Sanctum — </w:t>
      </w:r>
      <w:r>
        <w:t xml:space="preserve">présentée comme option recommandée pour la révocation native ; le JWT du CdC reste l'implémentation par défaut.</w:t>
      </w:r>
    </w:p>
    <w:p>
      <w:pPr>
        <w:pStyle w:val="ListParagraph"/>
        <w:numPr>
          <w:ilvl w:val="0"/>
          <w:numId w:val="4"/>
        </w:numPr>
        <w:spacing w:after="80" w:line="268"/>
        <w:jc w:val="both"/>
      </w:pPr>
      <w:r>
        <w:rPr>
          <w:b/>
          <w:bCs/>
        </w:rPr>
        <w:t xml:space="preserve">Argon2id — </w:t>
      </w:r>
      <w:r>
        <w:t xml:space="preserve">recommandé au lieu de bcrypt pour le hachage des mots de passe.</w:t>
      </w:r>
    </w:p>
    <w:p>
      <w:pPr>
        <w:pStyle w:val="ListParagraph"/>
        <w:numPr>
          <w:ilvl w:val="0"/>
          <w:numId w:val="4"/>
        </w:numPr>
        <w:spacing w:after="80" w:line="268"/>
        <w:jc w:val="both"/>
      </w:pPr>
      <w:r>
        <w:rPr>
          <w:b/>
          <w:bCs/>
        </w:rPr>
        <w:t xml:space="preserve">HSTS + certificate pinning — </w:t>
      </w:r>
      <w:r>
        <w:t xml:space="preserve">ajoutés à l'exigence HTTPS/TLS 1.3 existante.</w:t>
      </w:r>
    </w:p>
    <w:p>
      <w:pPr>
        <w:pStyle w:val="ListParagraph"/>
        <w:numPr>
          <w:ilvl w:val="0"/>
          <w:numId w:val="4"/>
        </w:numPr>
        <w:spacing w:after="80" w:line="268"/>
        <w:jc w:val="both"/>
      </w:pPr>
      <w:r>
        <w:rPr>
          <w:b/>
          <w:bCs/>
        </w:rPr>
        <w:t xml:space="preserve">Blind index — </w:t>
      </w:r>
      <w:r>
        <w:t xml:space="preserve">ajouté pour permettre la recherche sur des champs chiffrés (ex. CMU).</w:t>
      </w:r>
    </w:p>
    <w:p>
      <w:pPr>
        <w:spacing w:after="200"/>
      </w:pPr>
    </w:p>
    <w:p>
      <w:pPr>
        <w:pBdr>
          <w:top w:val="single" w:color="1B7A8C" w:sz="6" w:space="8"/>
        </w:pBdr>
        <w:spacing w:before="200"/>
        <w:jc w:val="both"/>
      </w:pPr>
      <w:r>
        <w:rPr>
          <w:i/>
          <w:iCs/>
          <w:color w:val="5A6B6F"/>
          <w:sz w:val="19"/>
          <w:szCs w:val="19"/>
        </w:rPr>
        <w:t xml:space="preserve">Ce document constitue la référence d'implémentation de la sécurité d'IVOIRSANTÉ. Il alimente directement le chapitre 7.3 du mémoire (Conception de la sécurité) et la section 10 du cahier des charges. Chaque mesure y est implémentable, justifiée par une menace, et rattachée à un référentiel reconnu.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C90"/>
        <w:sz w:val="16"/>
        <w:szCs w:val="16"/>
      </w:rPr>
      <w:t xml:space="preserve">Page </w:t>
    </w:r>
    <w:r>
      <w:rPr>
        <w:color w:val="7A8C9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9" w:sz="4" w:space="4"/>
      </w:pBdr>
      <w:tabs>
        <w:tab w:val="right" w:pos="9360"/>
      </w:tabs>
    </w:pPr>
    <w:r>
      <w:rPr>
        <w:color w:val="7A8C90"/>
        <w:sz w:val="16"/>
        <w:szCs w:val="16"/>
      </w:rPr>
      <w:t xml:space="preserve">IVOIRSANTÉ — Architecture de sécurité</w:t>
    </w:r>
    <w:r>
      <w:rPr>
        <w:color w:val="7A8C90"/>
        <w:sz w:val="16"/>
        <w:szCs w:val="16"/>
      </w:rPr>
      <w:t xml:space="preserve">	UIYA · IGL L3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1B7A8C"/>
      </w:r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7A8C" w:sz="8" w:space="6"/>
      </w:pBdr>
      <w:spacing w:after="160" w:before="280"/>
      <w:outlineLvl w:val="0"/>
    </w:pPr>
    <w:rPr>
      <w:rFonts w:ascii="Arial" w:cs="Arial" w:eastAsia="Arial" w:hAnsi="Arial"/>
      <w:b/>
      <w:bCs/>
      <w:color w:val="0F5C6B"/>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B7A8C"/>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44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de sécurité IVOIRSANTÉ</dc:title>
  <dc:creator>Mathieu — IVOIRSANTÉ</dc:creator>
  <dc:description>Conception de la sécurité — Laravel 11 / Expo</dc:description>
  <cp:lastModifiedBy>Un-named</cp:lastModifiedBy>
  <cp:revision>1</cp:revision>
  <dcterms:created xsi:type="dcterms:W3CDTF">2026-06-17T11:55:26.202Z</dcterms:created>
  <dcterms:modified xsi:type="dcterms:W3CDTF">2026-06-17T11:55:26.217Z</dcterms:modified>
</cp:coreProperties>
</file>

<file path=docProps/custom.xml><?xml version="1.0" encoding="utf-8"?>
<Properties xmlns="http://schemas.openxmlformats.org/officeDocument/2006/custom-properties" xmlns:vt="http://schemas.openxmlformats.org/officeDocument/2006/docPropsVTypes"/>
</file>