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14 and 15: A Consistent Interface and Easy Navigation</w:t>
      </w:r>
    </w:p>
    <w:p>
      <w:r>
        <w:rPr>
          <w:rFonts w:ascii="Aptos" w:eastAsia="Aptos" w:hAnsi="Aptos" w:cs="Aptos"/>
        </w:rPr>
        <w:t xml:space="preserve">These two objectives are about how the system looks and how easily it can be moved around, so they are judged partly by inspection and partly by watching somebody who has not used it before. They are tested last because they are about the finished system as a whole rather than about any one feature.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1850" w:type="pct"/>
            <w:tcMar>
              <w:top w:w="30" w:type="dxa"/>
              <w:left w:w="80" w:type="dxa"/>
              <w:bottom w:w="30" w:type="dxa"/>
              <w:right w:w="80" w:type="dxa"/>
            </w:tcMar>
          </w:tcPr>
          <w:p>
            <w:r>
              <w:rPr>
                <w:rFonts w:ascii="Aptos" w:eastAsia="Aptos" w:hAnsi="Aptos" w:cs="Aptos"/>
                <w:sz w:val="20"/>
                <w:szCs w:val="20"/>
              </w:rPr>
              <w:t xml:space="preserve">Open every form in turn and compare the colours, the fonts and the position of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uses the same colour scheme, the same font and the same layout conventions, with the action buttons in the same place on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1850" w:type="pct"/>
            <w:tcMar>
              <w:top w:w="30" w:type="dxa"/>
              <w:left w:w="80" w:type="dxa"/>
              <w:bottom w:w="30" w:type="dxa"/>
              <w:right w:w="80" w:type="dxa"/>
            </w:tcMar>
          </w:tcPr>
          <w:p>
            <w:r>
              <w:rPr>
                <w:rFonts w:ascii="Aptos" w:eastAsia="Aptos" w:hAnsi="Aptos" w:cs="Aptos"/>
                <w:sz w:val="20"/>
                <w:szCs w:val="20"/>
              </w:rPr>
              <w:t xml:space="preserve">Check the naming used on the buttons across the forms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same action is called the same thing everywhere rather than one form saying Add and another saying New for the same operation.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1850" w:type="pct"/>
            <w:tcMar>
              <w:top w:w="30" w:type="dxa"/>
              <w:left w:w="80" w:type="dxa"/>
              <w:bottom w:w="30" w:type="dxa"/>
              <w:right w:w="80" w:type="dxa"/>
            </w:tcMar>
          </w:tcPr>
          <w:p>
            <w:r>
              <w:rPr>
                <w:rFonts w:ascii="Aptos" w:eastAsia="Aptos" w:hAnsi="Aptos" w:cs="Aptos"/>
                <w:sz w:val="20"/>
                <w:szCs w:val="20"/>
              </w:rPr>
              <w:t xml:space="preserve">Check that every form shows its version label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form displays the current version, and no form is missing the label.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1850" w:type="pct"/>
            <w:tcMar>
              <w:top w:w="30" w:type="dxa"/>
              <w:left w:w="80" w:type="dxa"/>
              <w:bottom w:w="30" w:type="dxa"/>
              <w:right w:w="80" w:type="dxa"/>
            </w:tcMar>
          </w:tcPr>
          <w:p>
            <w:r>
              <w:rPr>
                <w:rFonts w:ascii="Aptos" w:eastAsia="Aptos" w:hAnsi="Aptos" w:cs="Aptos"/>
                <w:sz w:val="20"/>
                <w:szCs w:val="20"/>
              </w:rPr>
              <w:t xml:space="preserve">From the main menu, reach every feature of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feature can be reached from the main menu without going through another feature first, and the menu is labelled in plain words rather than in technical terms.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1850" w:type="pct"/>
            <w:tcMar>
              <w:top w:w="30" w:type="dxa"/>
              <w:left w:w="80" w:type="dxa"/>
              <w:bottom w:w="30" w:type="dxa"/>
              <w:right w:w="80" w:type="dxa"/>
            </w:tcMar>
          </w:tcPr>
          <w:p>
            <w:r>
              <w:rPr>
                <w:rFonts w:ascii="Aptos" w:eastAsia="Aptos" w:hAnsi="Aptos" w:cs="Aptos"/>
                <w:sz w:val="20"/>
                <w:szCs w:val="20"/>
              </w:rPr>
              <w:t xml:space="preserve">Ask somebody who has not used the system before to find a booking and cancel it, with no explanation given first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They can find their way to it from the main menu without being told where to go, which is what the objective means by not requiring technical knowledge.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1850" w:type="pct"/>
            <w:tcMar>
              <w:top w:w="30" w:type="dxa"/>
              <w:left w:w="80" w:type="dxa"/>
              <w:bottom w:w="30" w:type="dxa"/>
              <w:right w:w="80" w:type="dxa"/>
            </w:tcMar>
          </w:tcPr>
          <w:p>
            <w:r>
              <w:rPr>
                <w:rFonts w:ascii="Aptos" w:eastAsia="Aptos" w:hAnsi="Aptos" w:cs="Aptos"/>
                <w:sz w:val="20"/>
                <w:szCs w:val="20"/>
              </w:rPr>
              <w:t xml:space="preserve">Resize a form and look at what happens to the grid and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controls stay where they should be and nothing is left overlapping or running off the edge of the form.</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