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pPr>
        <w:spacing w:before="200" w:after="40"/>
      </w:pPr>
      <w:r>
        <w:rPr>
          <w:b/>
          <w:bCs/>
        </w:rPr>
        <w:t xml:space="preserve">Objective 40: The system must hold its configurable values in the database rather than in the program code, so that a manager can change them without the system being rebuilt.</w:t>
      </w:r>
    </w:p>
    <w:p>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pPr>
        <w:spacing w:before="200" w:after="40"/>
      </w:pPr>
      <w:r>
        <w:rPr>
          <w:b/>
          <w:bCs/>
        </w:rPr>
        <w:t xml:space="preserve">Objective 41: The system must offer a light and a dark colour scheme, applied consistently across every form and remembered against the individual user account rather than the machine.</w:t>
      </w:r>
    </w:p>
    <w:p>
      <w:pPr>
        <w:spacing w:after="80" w:line="276" w:lineRule="auto"/>
      </w:pPr>
      <w:r>
        <w:rPr>
          <w:b/>
          <w:bCs/>
        </w:rPr>
        <w:t xml:space="preserve">Success Criteria: </w:t>
      </w:r>
      <w:r>
        <w:t xml:space="preserve">Selecting a scheme should recolour every open form immediately. The chosen scheme should be stored against the user's login so that two members of staff sharing a machine each keep their own preference, and should be cleared on logout so the next user does not inherit it. Every form should take its colours from a single shared definition rather than holding its own. Changing scheme while a booking is in progress must not alter or lose the seats already selected.</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