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PRAPJ Board Terms of Reference and Candidate Shortlists</w:t>
      </w:r>
    </w:p>
    <w:p>
      <w:r>
        <w:t>DOMINUS | Version 1.4 | 10 October 2026 | Proposed for sponsor and publisher adoption</w:t>
      </w:r>
    </w:p>
    <w:p>
      <w:r>
        <w:t>This document defines separate Advisory and Editorial Boards, protects editorial decisions and provides prospective invitees for discussion. No person listed has been appointed by this package. The journal owner and legal publishing entity must be confirmed before appointments are issued. References to a publisher below describe the future authorised entity.</w:t>
      </w:r>
    </w:p>
    <w:p>
      <w:pPr/>
      <w:r>
        <w:t>Formal publication of PRAPJ is the intended outcome. No actual capstone budget has been approved or allocated, and no journal funding is committed. Financial estimates remain hypothetical planning assumptions; appointments and service commitments require authorised resources.</w:t>
      </w:r>
    </w:p>
    <w:p>
      <w:pPr>
        <w:pStyle w:val="Heading2"/>
      </w:pPr>
      <w:r>
        <w:t>Advisory Board Terms of Reference</w:t>
      </w:r>
    </w:p>
    <w:p>
      <w:r>
        <w:t>Purpose. Advise on the journal's mission, practical relevance, audience, partnerships and sustainability. The board helps the publisher evaluate the programme while preserving the Editor-in-Chief's authority over individual manuscripts.</w:t>
      </w:r>
    </w:p>
    <w:p>
      <w:r>
        <w:t>Responsibilities. Review the annual strategy, funding assumptions, audience evidence, risk register and continuity arrangements. Prioritise experienced and mid-career professionals while considering a later student pathway. Test contributor support and optional media against capacity and reader usefulness. Examine aggregate service and integrity indicators without directing manuscript decisions or accessing confidential reviewer identities.</w:t>
      </w:r>
    </w:p>
    <w:p>
      <w:r>
        <w:t>Composition. Propose six voting members, including a chair, at least two experienced practitioners, at least two research representatives and a member with publishing or scholarly-communications experience. A professional-body representative may fill one of these seats. Seek varied sectors, regions and career perspectives; no institution should hold a voting majority. The Editor-in-Chief and Managing Editor attend as non-voting participants when appropriate.</w:t>
      </w:r>
    </w:p>
    <w:p>
      <w:r>
        <w:t>Appointment. The publisher appoints members after sponsor-supported nomination, conflict assessment and written acceptance. Use two-year terms, renewable once, with staggered expiry after the pilot. Pilot appointments receive a review at 12 months. Members act in a personal advisory capacity unless institutional representation has been explicitly authorised.</w:t>
      </w:r>
    </w:p>
    <w:p>
      <w:r>
        <w:t>Meetings and decisions. Meet quarterly, with extraordinary meetings for material funding or continuity risks. Quorum is more than half of current voting members, including the chair or agreed deputy, and at least one practitioner and one research representative. Seek consensus; otherwise record a simple majority of eligible votes. A tie goes to the publisher as an unresolved recommendation, not a chair's editorial veto.</w:t>
      </w:r>
    </w:p>
    <w:p>
      <w:r>
        <w:t>Conduct and conflicts. Maintain confidentiality and disclose interests on appointment and at each relevant agenda item. A conflicted member leaves the discussion and vote; recalculate quorum excluding that member. If quorum fails, defer or seek additional independent advice. Members cannot use confidential information to promote their own work or business.</w:t>
      </w:r>
    </w:p>
    <w:p>
      <w:r>
        <w:t>Accountability. The secretary records attendance, recommendations, dissent, recusals, owners and due dates. Send minutes to members for correction within ten working days. The chair submits an annual advice report covering strategy, risks, participation and funding continuity. The publisher records its response to material recommendations.</w:t>
      </w:r>
    </w:p>
    <w:p>
      <w:r>
        <w:t>Review and exit. Review the TOR at month 6 and annually. Members may resign with 30 days' notice where feasible. The publisher may remove a member for sustained non-participation, undeclared conflict or serious misconduct after written reasons and an opportunity to respond. Disagreement with an individual editorial decision is not grounds for removal. Expenses or remuneration require a separate agreement; none is offered here.</w:t>
      </w:r>
    </w:p>
    <w:p>
      <w:pPr>
        <w:pStyle w:val="Heading1"/>
        <w:pageBreakBefore w:val="0"/>
      </w:pPr>
      <w:r>
        <w:t>Editorial Board Terms of Reference</w:t>
      </w:r>
    </w:p>
    <w:p>
      <w:pPr>
        <w:pStyle w:val="Heading2"/>
      </w:pPr>
      <w:r>
        <w:t>Purpose and authority</w:t>
      </w:r>
    </w:p>
    <w:p>
      <w:r>
        <w:t>Maintain the quality, integrity and usefulness of PRAPJ's content. The Editor-in-Chief has final responsibility for manuscript decisions, exercised personally or through an independent delegated editor. A board meeting does not vote on ordinary manuscript acceptance. The publisher supports lawful operations and integrity procedures without selling or directing editorial outcomes.</w:t>
      </w:r>
    </w:p>
    <w:p>
      <w:pPr>
        <w:pStyle w:val="Heading2"/>
      </w:pPr>
      <w:r>
        <w:t>Composition and appointments</w:t>
      </w:r>
    </w:p>
    <w:p>
      <w:r>
        <w:t>Propose an Editor-in-Chief, a deputy, a Research Editor, a Practice Editor, a Translation Editor and additional methods or subject editors as workload requires. One person may cover two compatible roles during the pilot if time and conflicts permit; independent backup is mandatory. The Managing Editor coordinates records and production. Recruit a separate external-reviewer pool; board membership does not establish independent external review.</w:t>
      </w:r>
    </w:p>
    <w:p>
      <w:r>
        <w:t>The publisher appoints the Editor-in-Chief through documented assessment of editorial judgement, research quality, practitioner understanding, independence and time commitment. The Editor-in-Chief recommends other editors to the publisher. Use two-year renewable terms, with a 12-month pilot performance review. Confirm responsibilities and workload individually; acceptance of an interview invitation does not constitute an appointment.</w:t>
      </w:r>
    </w:p>
    <w:p>
      <w:pPr>
        <w:pStyle w:val="Heading2"/>
      </w:pPr>
      <w:r>
        <w:t>Responsibilities</w:t>
      </w:r>
    </w:p>
    <w:p>
      <w:r>
        <w:t>The Editor-in-Chief maintains policy, appoints manuscript handlers, resolves conflicting recommendations, monitors quality and oversees corrections. The deputy covers absences and independently handles conflicts involving the Editor-in-Chief. Research and Practice Editors assess fit, commission appropriate reviews and recommend or make decisions within a written delegation. The Translation Editor checks fidelity, decision relevance and limitations in briefs. Methods advice is commissioned when needed.</w:t>
      </w:r>
    </w:p>
    <w:p>
      <w:r>
        <w:t>The Managing Editor checks completeness, access permissions, deadlines, versions, production files and metadata. This role may return incomplete files but may not convert an administrative check into a scholarly acceptance. Guest editors work under the same standards, with the Editor-in-Chief retaining oversight of a collection.</w:t>
      </w:r>
    </w:p>
    <w:p>
      <w:pPr/>
      <w:r>
        <w:t>The Practice Editor oversees any interview-supported contribution route, including evidence traceability and contributor approval. The Translation Editor checks optional media against its written source and material limitations. A person who substantially helped prepare an item must not supply its independent review or control its acceptance.</w:t>
      </w:r>
    </w:p>
    <w:p>
      <w:pPr>
        <w:pStyle w:val="Heading2"/>
      </w:pPr>
      <w:r>
        <w:t>Review and independence</w:t>
      </w:r>
    </w:p>
    <w:p>
      <w:r>
        <w:t>Research Articles and Evidence Reviews need at least two independent external reports. Practitioner Cases normally receive two external reports covering practice and evidence quality. Briefs receive editorial translation review. Challenges and Evidence Notes receive editorial and domain assessment, escalating to external review where the claim requires. Public labels must state the route actually used.</w:t>
      </w:r>
    </w:p>
    <w:p>
      <w:r>
        <w:t>Editors declare relationships, employment, funding, collaboration and competitive interests that may affect impartiality. An implicated editor loses access to confidential handling records for that manuscript, apart from information available to an ordinary author. The independent handler and rationale are recorded. If no suitable internal handler exists, the publisher arranges an external editor without choosing the outcome.</w:t>
      </w:r>
    </w:p>
    <w:p>
      <w:pPr>
        <w:pStyle w:val="Heading2"/>
      </w:pPr>
      <w:r>
        <w:t>Meetings and performance</w:t>
      </w:r>
    </w:p>
    <w:p>
      <w:r>
        <w:t>Hold monthly operational reviews during the pilot. Policy recommendations need a quorum of more than half the appointed voting editors, including the Editor-in-Chief or deputy and both research and practice expertise. Seek consensus, then majority; unresolved policy issues go to the publisher. Publish policy changes with an effective date and treatment of manuscripts already in process.</w:t>
      </w:r>
    </w:p>
    <w:p>
      <w:r>
        <w:t>Evaluate editors on reasoned decisions, constructive handling, timeliness, confidentiality and contribution to capacity. Do not reward acceptance quotas or citation inflation. Review membership after repeated failure to carry out agreed duties. Give reasons, an opportunity to respond and a succession plan before removal. Annual reporting should disclose aggregate workflow results, material policy changes and corrective actions without exposing confidential cases.</w:t>
      </w:r>
    </w:p>
    <w:p>
      <w:pPr>
        <w:pStyle w:val="Heading1"/>
        <w:pageBreakBefore w:val="0"/>
      </w:pPr>
      <w:r>
        <w:t>Decision rights and conflict handling</w:t>
      </w:r>
    </w:p>
    <w:p>
      <w:r>
        <w:t>The publisher holds institutional and contractual responsibilities; the sponsor authorises project direction and resources within its authority. Neither role determines the scholarly outcome of an individual manuscript. The final institutional appointment and financial delegations remain to be confirmed.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Decision</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Accountable decision maker</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Advice and record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Pilot funding and continuation</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Authorised publisher or sponsor within delegated authority</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Advisory Board recommendation and cost register</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Editor-in-Chief appointment</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Publisher</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Documented selection, conflicts and written acceptance</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Other editor appointments</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Publisher</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Editor-in-Chief recommendation and capacity assessment</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Individual manuscript outcome</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Editor-in-Chief or independent delegated editor</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Reports, reasons, conflicts and decision letter</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Journal editorial policy</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Editor-in-Chief for editorial standards; publisher for institutional adoption</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Board consultation and version register</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Commercial sponsorship</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Publisher</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Advisory input; no manuscript decision rights granted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Appeal outcome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Independent appeal editor or panel</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Evidence, process assessment and written reasons</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Correction or retraction</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Independent responsible editor with publisher support</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Assessment, author response and linked public notice</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Confidentiality incident</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Host incident owner</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Editor notification, containment and institutional procedure</w:t>
            </w:r>
          </w:p>
        </w:tc>
      </w:tr>
    </w:tbl>
    <w:p>
      <w:pPr>
        <w:spacing w:after="0" w:line="80" w:before="0" w:lineRule="exact"/>
      </w:pPr>
      <w:r/>
      <w:r>
        <w:rPr>
          <w:sz w:val="6"/>
        </w:rPr>
      </w:r>
    </w:p>
    <w:p>
      <w:pPr>
        <w:pStyle w:val="Heading2"/>
      </w:pPr>
      <w:r>
        <w:t>Operational conflict test</w:t>
      </w:r>
    </w:p>
    <w:p>
      <w:r>
        <w:t>An Advisory Board member submits a case about a sponsor-funded project. The office records the relationships on the private title page and in the conflict log. The Editor-in-Chief assigns an independent handler and excludes implicated advisers and sponsors from the review record. Reviewers are checked for institutional, commercial and collaboration links. The public article discloses relevant funding and author roles if accepted; funding does not influence the decision.</w:t>
      </w:r>
    </w:p>
    <w:p>
      <w:r>
        <w:t>If the Editor-in-Chief is an author, the deputy or an external editor controls the process and communicates the decision. If an appeal challenges that handler, a different independent person considers it. Record who appointed each handler, the reason, access restrictions and the final decision. An external reviewer cannot be counted as independent merely because their name is unknown to the author.</w:t>
      </w:r>
    </w:p>
    <w:p>
      <w:pPr>
        <w:pStyle w:val="Heading2"/>
      </w:pPr>
      <w:r>
        <w:t>Appeals complaints and integrity</w:t>
      </w:r>
    </w:p>
    <w:p>
      <w:r>
        <w:t>Proposed service standard: an author may appeal within 30 calendar days of the decision, stating a factual or procedural ground and supporting evidence. Acknowledge within five working days and aim for an independent response within 30 calendar days; update the author every 20 working days if delayed. Consider one appeal per decision unless material new evidence justifies reopening. Permit procedural appeals after desk decisions as well as external review.</w:t>
      </w:r>
    </w:p>
    <w:p>
      <w:r>
        <w:t>Separate an appeal about a decision from a complaint about conduct or integrity. An independent publisher-designated contact handles complaints involving the Editor-in-Chief. Preserve records, assess evidence, invite responses and obtain specialist advice when needed. Correct the record visibly where conclusions or published information materially change. Protect privacy in identity-related corrections. Contacts, record-retention periods and institutional escalation must be adopted before launch.</w:t>
      </w:r>
    </w:p>
    <w:p>
      <w:pPr>
        <w:pStyle w:val="Heading2"/>
      </w:pPr>
      <w:r>
        <w:t>Reference basis</w:t>
      </w:r>
    </w:p>
    <w:p>
      <w:r>
        <w:t>Original PRAPJ proposals informed by L3, L5, E4, E7 and J2 in the Business Case source register. Timing and composition require adoption; no publisher affiliation is implied.</w:t>
      </w:r>
    </w:p>
    <w:p>
      <w:pPr>
        <w:pStyle w:val="Heading1"/>
        <w:pageBreakBefore w:val="0"/>
      </w:pPr>
      <w:r>
        <w:t>Prospective Advisory Board invitees</w:t>
      </w:r>
    </w:p>
    <w:p>
      <w:r>
        <w:t>This is a prospective shortlist for sponsor review. All people listed are unappointed; availability, willingness, conflicts and permission to publish a profile must be checked. Professional fit is a proposed assessment from the cited evidence, not an organisational endorsement. Keep this shortlist off the public editorial-board page.</w:t>
      </w:r>
    </w:p>
    <w:p>
      <w:pPr>
        <w:pStyle w:val="Heading2"/>
      </w:pPr>
      <w:r>
        <w:t>Paul Rodman</w:t>
      </w:r>
    </w:p>
    <w:p>
      <w:r>
        <w:t>Proposed contribution: practitioner adviser on infrastructure decisions, case evidence and audience usefulness. Paul Rodman's interview was conducted on 31 August 2026. The supplied summary identifies him as Principal at Flagstaff Consulting Group, consistent with the profile inspected on 25 September. Reconfirm his preferred affiliation before invitation. [L2, C1]</w:t>
      </w:r>
    </w:p>
    <w:p>
      <w:r>
        <w:t>Priority: initial sponsor discussion because an interview relationship already exists. Confirmation needed: interest in an advisory role, personal versus organisational capacity, available time, employer permission where relevant, and conflicts involving cases. The interview does not record acceptance of a board seat or a commitment of organisational funding.</w:t>
      </w:r>
    </w:p>
    <w:p>
      <w:pPr>
        <w:pStyle w:val="Heading2"/>
      </w:pPr>
      <w:r>
        <w:t>James Bawtree</w:t>
      </w:r>
    </w:p>
    <w:p>
      <w:pPr/>
      <w:r>
        <w:t>Proposed contribution: practitioner adviser on professional usefulness, supported contributions and media testing. His 8 October 2026 interview emphasises project objectives, evidence triangulation, context, writing support and observable user value. This supports a role discussion; it does not establish board interest or organisational endorsement. [L8]</w:t>
      </w:r>
    </w:p>
    <w:p>
      <w:pPr/>
      <w:r>
        <w:t>Confirmation needed: preferred title and affiliation, willingness, available time, conflicts, personal or organisational capacity, and whether an advisory role or bounded content review best suits his contribution. No appointment or financial commitment was recorded.</w:t>
      </w:r>
    </w:p>
    <w:p>
      <w:pPr>
        <w:pStyle w:val="Heading2"/>
      </w:pPr>
      <w:r>
        <w:t>Professor Jennifer Whyte</w:t>
      </w:r>
    </w:p>
    <w:p>
      <w:r>
        <w:t>Proposed contribution: research-practice strategy and major-project leadership. A University of Sydney short-course profile describes her professorship in the School of Project Management and work on systems integration, digital information and major projects. The preliminary charter also presents her as an illustrative academic contact. [L5, C2]</w:t>
      </w:r>
    </w:p>
    <w:p>
      <w:r>
        <w:t>Priority: strategic academic candidate, subject to sponsor access. Confirmation needed: current role and responsibilities, time, institutional capacity, existing editorial relationships and willingness. Do not imply that a personal appointment commits the University to hosting or underwriting PRAPJ.</w:t>
      </w:r>
    </w:p>
    <w:p>
      <w:pPr>
        <w:pStyle w:val="Heading2"/>
      </w:pPr>
      <w:r>
        <w:t>Professor Ofer Zwikael</w:t>
      </w:r>
    </w:p>
    <w:p>
      <w:r>
        <w:t>Proposed contribution: benefits, sponsorship and business-case quality. ANU's official profile identifies project-management scholarship, benefits research and experience working with industry. This could help the board judge whether the publication improves decision relevance. [C3]</w:t>
      </w:r>
    </w:p>
    <w:p>
      <w:r>
        <w:t>Priority: external perspective after the host and scope are clearer. Confirmation needed: availability, editorial commitments, conflicts and appointment terms. Existing journal relationships may require explicit management; they do not automatically exclude consideration.</w:t>
      </w:r>
    </w:p>
    <w:p>
      <w:pPr>
        <w:pStyle w:val="Heading2"/>
      </w:pPr>
      <w:r>
        <w:t>Seats still to identify</w:t>
      </w:r>
    </w:p>
    <w:p>
      <w:r>
        <w:t>The proposed six-member board still needs publishing or library expertise and balanced research, practice and professional-community coverage. The shortlist is a pool for selection, not a list of assigned seats. Ask the host and sponsor to resolve gaps before appointments.</w:t>
      </w:r>
    </w:p>
    <w:p>
      <w:pPr>
        <w:pStyle w:val="Heading2"/>
      </w:pPr>
      <w:r>
        <w:t>Source links and verification</w:t>
      </w:r>
    </w:p>
    <w:p>
      <w:r>
        <w:t>Earlier public-profile checks date to 25 September 2026; W31 is a historical biography accessed on 10 October. Reconfirm current roles before outreach through official institutional channels, without reproducing personal telephone numbers in the handover package.</w:t>
      </w:r>
    </w:p>
    <w:p>
      <w:pPr>
        <w:spacing w:after="100"/>
      </w:pPr>
      <w:r>
        <w:t xml:space="preserve">C1. </w:t>
      </w:r>
      <w:hyperlink r:id="rId10">
        <w:r>
          <w:rPr>
            <w:color w:val="24556C"/>
            <w:u w:val="single"/>
          </w:rPr>
          <w:t>Flagstaff Consulting Group profile of Paul Rodman</w:t>
        </w:r>
      </w:hyperlink>
    </w:p>
    <w:p>
      <w:pPr>
        <w:spacing w:after="100"/>
      </w:pPr>
      <w:r>
        <w:t xml:space="preserve">C2. </w:t>
      </w:r>
      <w:hyperlink r:id="rId11">
        <w:r>
          <w:rPr>
            <w:color w:val="24556C"/>
            <w:u w:val="single"/>
          </w:rPr>
          <w:t>University of Sydney facilitator profile of Jennifer Whyte</w:t>
        </w:r>
      </w:hyperlink>
    </w:p>
    <w:p>
      <w:pPr>
        <w:spacing w:after="100"/>
      </w:pPr>
      <w:r>
        <w:t xml:space="preserve">C3. </w:t>
      </w:r>
      <w:hyperlink r:id="rId12">
        <w:r>
          <w:rPr>
            <w:color w:val="24556C"/>
            <w:u w:val="single"/>
          </w:rPr>
          <w:t>ANU profile of Ofer Zwikael</w:t>
        </w:r>
      </w:hyperlink>
    </w:p>
    <w:p>
      <w:pPr>
        <w:pStyle w:val="Heading1"/>
        <w:pageBreakBefore w:val="0"/>
      </w:pPr>
      <w:r>
        <w:t>Prospective Editorial Board invitees</w:t>
      </w:r>
    </w:p>
    <w:p>
      <w:r>
        <w:t>No Editor-in-Chief is nominated automatically. That appointment needs a separate assessment of editorial judgement, independence, capacity and willingness. The following candidates could be considered for specified functions; the roles are proposals only.</w:t>
      </w:r>
    </w:p>
    <w:p>
      <w:pPr>
        <w:pStyle w:val="Heading2"/>
      </w:pPr>
      <w:r>
        <w:t>Dr Michael Hopmere</w:t>
      </w:r>
    </w:p>
    <w:p>
      <w:r>
        <w:t>Proposed contribution: Practice or Translation Editor, or an external-reviewer role if an editorial appointment is unsuitable. The user confirms that the interview with Michael Hopmere took place on 24 September 2026. The supplied minutes record interest in reviewing, writing and possible editorial participation, with attention to practical cases and timely decisions. [L1, L9]</w:t>
      </w:r>
    </w:p>
    <w:p>
      <w:r>
        <w:t>Priority: initial sponsor discussion. Confirm preferred title, current affiliation, the scope of the expressed interest and time commitment. The user has confirmed the identity; an editorial appointment still requires written acceptance. If appointed as editor, do not count his report as an independent external review of an item he handles.</w:t>
      </w:r>
    </w:p>
    <w:p>
      <w:pPr>
        <w:pStyle w:val="Heading2"/>
      </w:pPr>
      <w:r>
        <w:t>Louis Taborda</w:t>
      </w:r>
    </w:p>
    <w:p>
      <w:pPr/>
      <w:r>
        <w:t>Prospective contact for an editorial-role discussion. Following the 3 September 2026 interview, the project lead reports that Louis confirmed support for establishing PRAPJ. The expanded third-person support account supplements the earlier general-support record. It combines that reported position with background analysis; it is not a verbatim transcript or independently signed endorsement. [L9, L10, L12]</w:t>
      </w:r>
    </w:p>
    <w:p>
      <w:pPr>
        <w:keepLines/>
      </w:pPr>
      <w:r>
        <w:t>Sydney's 18 March 2024 account documents teaching, IT consultancy and experiential learning involving real projects and industry. This background supports exploring an educational or practice contribution; current role and editorial fit still require confirmation. [W31]</w:t>
      </w:r>
    </w:p>
    <w:p>
      <w:pPr/>
      <w:r>
        <w:t>Before shortlisting for a defined appointment, confirm current title and affiliation, editorial judgement, independence, workload and willingness. The support account does not establish agreement to particular journal policies or formats, a board appointment, a submission or a funding or hosting commitment.</w:t>
      </w:r>
    </w:p>
    <w:p>
      <w:pPr>
        <w:pStyle w:val="Heading2"/>
      </w:pPr>
      <w:r>
        <w:t>Professor Shankar Sankaran</w:t>
      </w:r>
    </w:p>
    <w:p>
      <w:r>
        <w:t>Proposed contribution: research or methods editor for organisational project management and practice-oriented inquiry. UTS's public Robotics Institute people page lists him with project-management and sociotechnical expertise. Its institutional account of a project-governance initiative describes work with practitioners. [C4]</w:t>
      </w:r>
    </w:p>
    <w:p>
      <w:r>
        <w:t>Priority: methods and governance candidate. Confirm current title, editorial obligations, review capacity and conflicts. His experience may suit advisory work instead; select one clearly defined primary role to avoid ambiguous accountability.</w:t>
      </w:r>
    </w:p>
    <w:p>
      <w:pPr>
        <w:pStyle w:val="Heading2"/>
      </w:pPr>
      <w:r>
        <w:t>Associate Professor Julien Pollack</w:t>
      </w:r>
    </w:p>
    <w:p>
      <w:r>
        <w:t>Proposed contribution: research or practice editor for organisational change and complex projects. The University of Sydney's John Grill Institute profile describes practical delivery experience followed by research on project-management practice, systems thinking and change. The charter includes him among illustrative academic contacts. [L5, C5]</w:t>
      </w:r>
    </w:p>
    <w:p>
      <w:r>
        <w:t>Priority: candidate with a documented practice-research connection. The profile is an institutional source but is not a current appointment confirmation; verify preferred title, affiliation, availability and existing commitments before invitation.</w:t>
      </w:r>
    </w:p>
    <w:p>
      <w:pPr>
        <w:pStyle w:val="Heading2"/>
      </w:pPr>
      <w:r>
        <w:t>Selection and invitation sequence</w:t>
      </w:r>
    </w:p>
    <w:p>
      <w:pPr>
        <w:keepLines/>
      </w:pPr>
      <w:r>
        <w:t>First screen demonstrated subject expertise and integrity; then test independent judgement, contribution to practitioner relevance, capacity and coverage of methods, sectors and regions. Do not infer demographic characteristics from names or photographs. The current shortlist is Australia-focused and incomplete for a mature international board.</w:t>
      </w:r>
    </w:p>
    <w:p>
      <w:r>
        <w:t>The sponsor reviews the shortlist; the authorised publisher confirms roles; approved invitations specify mandate, term, expected workload, confidentiality, conflicts and whether the role is unpaid. Obtain written acceptance and profile approval before announcement. Record status as shortlisted, approved to approach, invited, declined, accepted or appointed, with dates and evidence. No outreach was sent during preparation of this package.</w:t>
      </w:r>
    </w:p>
    <w:p>
      <w:pPr>
        <w:pStyle w:val="Heading2"/>
      </w:pPr>
      <w:r>
        <w:t>Source links and appointment record</w:t>
      </w:r>
    </w:p>
    <w:p>
      <w:pPr>
        <w:spacing w:after="100"/>
      </w:pPr>
      <w:r>
        <w:t xml:space="preserve">C4. </w:t>
      </w:r>
      <w:hyperlink r:id="rId13">
        <w:r>
          <w:rPr>
            <w:color w:val="24556C"/>
            <w:u w:val="single"/>
          </w:rPr>
          <w:t>UTS Robotics Institute people page</w:t>
        </w:r>
      </w:hyperlink>
    </w:p>
    <w:p>
      <w:pPr>
        <w:spacing w:after="100"/>
      </w:pPr>
      <w:r>
        <w:t xml:space="preserve">C4a. </w:t>
      </w:r>
      <w:hyperlink r:id="rId14">
        <w:r>
          <w:rPr>
            <w:color w:val="24556C"/>
            <w:u w:val="single"/>
          </w:rPr>
          <w:t>UTS project governance initiative</w:t>
        </w:r>
      </w:hyperlink>
    </w:p>
    <w:p>
      <w:pPr>
        <w:spacing w:after="100"/>
      </w:pPr>
      <w:r>
        <w:t xml:space="preserve">C5. </w:t>
      </w:r>
      <w:hyperlink r:id="rId15">
        <w:r>
          <w:rPr>
            <w:color w:val="24556C"/>
            <w:u w:val="single"/>
          </w:rPr>
          <w:t>John Grill Institute profile of Julien Pollack</w:t>
        </w:r>
      </w:hyperlink>
    </w:p>
    <w:p>
      <w:r>
        <w:t>Use template T11 for an invitation and acceptance record. A profile link supports professional relevance only; it never records consent to serve.</w:t>
      </w:r>
    </w:p>
    <w:p>
      <w:pPr>
        <w:pStyle w:val="Heading2"/>
      </w:pPr>
      <w:r>
        <w:t>Interview and profile evidence update</w:t>
      </w:r>
    </w:p>
    <w:p>
      <w:pPr/>
      <w:r>
        <w:t>L8. James Bawtree interview summary, 8 October 2026; check quotations against the recording and obtain publication approval. L9. Project-lead confirmation on 8 October of the four interview dates, Michael Hopmere's identity and project status. L10. Original project-lead account of Louis's general support, retained for provenance and supplemented by L12.</w:t>
      </w:r>
    </w:p>
    <w:p>
      <w:pPr>
        <w:keepLines/>
      </w:pPr>
      <w:r>
        <w:t>L12. Expanded third-person Louis support account and project-lead confirmation supplied on 10 October 2026. Prepared from reported confirmation of support and documented background; the confirmation date and method were not supplied. No original transcript or independent signed record was supplied, and the analytical expansion does not establish that every sentence was spoken or separately confirmed.</w:t>
      </w:r>
    </w:p>
    <w:p>
      <w:pPr>
        <w:keepLines/>
      </w:pPr>
      <w:r>
        <w:t xml:space="preserve">W31. University of Sydney, 18 March 2024. </w:t>
      </w:r>
      <w:hyperlink r:id="rId16">
        <w:r>
          <w:rPr>
            <w:color w:val="000000"/>
          </w:rPr>
          <w:t>Community of expert educators to transform student experience</w:t>
        </w:r>
      </w:hyperlink>
      <w:r>
        <w:t>. Accessed 10 October 2026. Historical professional background, not a current appointment confirmation or institutional endorsement of PRAPJ.</w:t>
      </w:r>
    </w:p>
    <w:sectPr w:rsidR="00FC693F" w:rsidRPr="0006063C" w:rsidSect="00034616">
      <w:footerReference w:type="default" r:id="rId9"/>
      <w:pgSz w:w="11905" w:h="16838"/>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PRAPJ  •  Board TOR and Shortlists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7"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57"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lagstaff.com.au/paul-rodman/" TargetMode="External"/><Relationship Id="rId11" Type="http://schemas.openxmlformats.org/officeDocument/2006/relationships/hyperlink" Target="https://short-courses.sydney.edu.au/tutor/22" TargetMode="External"/><Relationship Id="rId12" Type="http://schemas.openxmlformats.org/officeDocument/2006/relationships/hyperlink" Target="https://reporter.anu.edu.au/people/ofer-zwikael" TargetMode="External"/><Relationship Id="rId13" Type="http://schemas.openxmlformats.org/officeDocument/2006/relationships/hyperlink" Target="https://www.uts.edu.au/research/centres/robotics-institute/about-us/our-people" TargetMode="External"/><Relationship Id="rId14" Type="http://schemas.openxmlformats.org/officeDocument/2006/relationships/hyperlink" Target="https://www.uts.edu.au/news/2022/11/professor-shankar-sankaran-heads-governance-initiative" TargetMode="External"/><Relationship Id="rId15" Type="http://schemas.openxmlformats.org/officeDocument/2006/relationships/hyperlink" Target="https://project-leadership-eng.sydney.edu.au/julien-pollack/" TargetMode="External"/><Relationship Id="rId16" Type="http://schemas.openxmlformats.org/officeDocument/2006/relationships/hyperlink" Target="https://www.sydney.edu.au/news-opinion/news/2024/03/18/community-of-expert-educators-to-transform-student-experi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TOR and Shortlists</dc:title>
  <dc:subject>PRAPJ capstone deliverable for sponsor review</dc:subject>
  <dc:creator>Team DOMINUS</dc:creator>
  <cp:keywords/>
  <dc:description>Updated 8 October 2026. Proposed for editorial adoption; no approved or allocated actual capstone budget or committed journal funding.</dc:description>
  <cp:lastModifiedBy/>
  <cp:revision>1</cp:revision>
  <dcterms:created xsi:type="dcterms:W3CDTF">2013-12-23T23:15:00Z</dcterms:created>
  <dcterms:modified xsi:type="dcterms:W3CDTF">2013-12-23T23:15:00Z</dcterms:modified>
  <cp:category/>
  <cp:version>1.4</cp:version>
</cp:coreProperties>
</file>