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PRAPJ Reviewer Guide and Editorial Procedures</w:t>
      </w:r>
    </w:p>
    <w:p>
      <w:r>
        <w:t>Version 1.3 | 8 October 2026 | Proposed operating guide | Submissions are not open</w:t>
      </w:r>
    </w:p>
    <w:p>
      <w:r>
        <w:t>This guide explains how editors and reviewers would assess PRAPJ submissions, document decisions and protect confidentiality. Read it alongside the Guide for Authors and Board Terms of Reference. The author guide controls contribution specifications; this document controls proposed handling steps. All service targets require adoption and capacity testing.</w:t>
      </w:r>
    </w:p>
    <w:p>
      <w:pPr>
        <w:pStyle w:val="Heading2"/>
      </w:pPr>
      <w:r>
        <w:t>Before accepting an invitation</w:t>
      </w:r>
    </w:p>
    <w:p>
      <w:r>
        <w:t>Check expertise, time and independence. Declare relevant institutional, employment, financial, supervisory, collaboration or competitive relationships before accessing a manuscript. Decline when you cannot give an impartial assessment or meet an agreed deadline. Suggest alternatives only when you know their relevant expertise; editors verify identity and independence.</w:t>
      </w:r>
    </w:p>
    <w:p>
      <w:r>
        <w:t>Treat the manuscript, supplementary files and correspondence as confidential throughout and after the review. Do not contact authors, pass files to a colleague, use unpublished ideas, or run files through external tools without authorised arrangements. A co-reviewer needs prior editorial approval and acknowledgement in the private record. Do not upload confidential review material to generative-AI services or use generative AI to assess it.</w:t>
      </w:r>
    </w:p>
    <w:p>
      <w:pPr>
        <w:pStyle w:val="Heading2"/>
      </w:pPr>
      <w:r>
        <w:t>Routes and reviewer assignments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Contribution</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Assessment route</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Primary question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Research Article or Evidence Review</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At least two independent external reviewers; double-anonymous default</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Does the method and evidence support a worthwhile contribution?</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Practitioner Case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Normally two external reviewers whose combined expertise covers practice and research</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Is the account credible and are transfer conditions clear?</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Research-to-Practice Brief</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Editorial translation review</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Does the interpretation accurately reflect identifiable source evidence?</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Challenge or Evidence Note</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Editorial screening and domain assessment; escalate when required</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Is the question or limited claim appropriately evidenced and labelled?</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Invited Editorial or Debate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Editorial assessment and specialist advice where needed</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Is the argument evidence-informed and fairly presented?</w:t>
            </w:r>
          </w:p>
        </w:tc>
      </w:tr>
    </w:tbl>
    <w:p>
      <w:pPr>
        <w:spacing w:after="0" w:line="80" w:before="0" w:lineRule="exact"/>
      </w:pPr>
      <w:r/>
      <w:r>
        <w:rPr>
          <w:sz w:val="6"/>
        </w:rPr>
      </w:r>
    </w:p>
    <w:p>
      <w:r>
        <w:t>An identifiable case or preprint may make anonymity incomplete. The editor documents feasible treatment and discusses a change of review model with the author before proceeding. Never promise that anonymisation eliminates all bias. Editorial assessment must not be labelled as independent research peer review.</w:t>
      </w:r>
    </w:p>
    <w:p>
      <w:pPr>
        <w:pStyle w:val="Heading2"/>
      </w:pPr>
      <w:r>
        <w:t>Structure of a useful report</w:t>
      </w:r>
    </w:p>
    <w:p>
      <w:r>
        <w:t>Summarise the contribution fairly; identify strengths; separate major concerns from minor improvements; connect each concern to a manuscript location and its effect on the claim. Suggest a feasible remedy where possible. Distinguish an essential correction from a preference. Use respectful, specific language and avoid requiring citations merely to promote yourself or the journal.</w:t>
      </w:r>
    </w:p>
    <w:p>
      <w:r>
        <w:t>Use T07 for research and case reports and T08 for translation checks. Recommendations inform an editor's decision; they do not constitute acceptance. Report suspected integrity problems privately to the editor with evidence rather than accusing authors in public comments.</w:t>
      </w:r>
    </w:p>
    <w:p>
      <w:pPr>
        <w:pStyle w:val="Heading1"/>
        <w:pageBreakBefore w:val="0"/>
      </w:pPr>
      <w:r>
        <w:t>Assessment criteria and decisions</w:t>
      </w:r>
    </w:p>
    <w:p>
      <w:pPr>
        <w:pStyle w:val="Heading2"/>
      </w:pPr>
      <w:r>
        <w:t>Research and evidence reviews</w:t>
      </w:r>
    </w:p>
    <w:p>
      <w:r>
        <w:t>Evaluate the question, contribution and relationship to relevant literature. Assess whether sampling, measurement, data sources and analysis suit the question. Check whether conclusions distinguish association from causation, acknowledge uncertainty and consider plausible alternatives. For evidence reviews, inspect search dates and sources, inclusion criteria, appraisal and synthesis in relation to the claimed design.</w:t>
      </w:r>
    </w:p>
    <w:p>
      <w:r>
        <w:t>Check practical implications against the findings. A paper can be useful without claiming a universal solution. Identify missing evidence that changes the conclusion; do not ask for an entirely different study as a routine revision. Statistical or methodological concerns beyond your expertise should prompt specialist assessment.</w:t>
      </w:r>
    </w:p>
    <w:p>
      <w:pPr>
        <w:pStyle w:val="Heading2"/>
      </w:pPr>
      <w:r>
        <w:t>Practitioner cases</w:t>
      </w:r>
    </w:p>
    <w:p>
      <w:r>
        <w:t>Assess the project objective, context, decision, alternatives, author involvement and evidence provenance. Compare available records, schedules, measures and participant accounts and inspect discrepancies. Separate recollection from contemporaneous evidence and intended from observed outcomes. Check baselines and periods. Mixed outcomes can be useful; theoretical novelty is not required for a credible case.</w:t>
      </w:r>
    </w:p>
    <w:p>
      <w:r>
        <w:t>Ask which objectives and conditions must be comparable for another project to use the lesson, including across sectors. Check permissions, participant protections and interests. Removing names does not waive consent or organisational permission, and anonymisation must not invent replacement observations. Return unsupported promotional claims for evidence or decline them.</w:t>
      </w:r>
    </w:p>
    <w:p>
      <w:pPr>
        <w:pStyle w:val="Heading2"/>
      </w:pPr>
      <w:r>
        <w:t>Translation review</w:t>
      </w:r>
    </w:p>
    <w:p>
      <w:r>
        <w:t>Open the source research and identify its review status. Map important claims to specific findings. Separate source results, the brief author's interpretation and suggested action. Retain limitations, uncertainty and contextual boundaries. A linked brief may be published after its source article; it receives its own review label and version record.</w:t>
      </w:r>
    </w:p>
    <w:p>
      <w:pPr>
        <w:pStyle w:val="Heading2"/>
      </w:pPr>
      <w:r>
        <w:t>Supported contributions and media</w:t>
      </w:r>
    </w:p>
    <w:p>
      <w:pPr/>
      <w:r>
        <w:t>For an interview-supported item, inspect T13 for agreed scope, evidence access, consent, credited assistance and contributor approval. The interviewer or substantive writing assistant must not provide the independent assessment of their own work. Identify limitations when records cannot corroborate recollection; apply the ordinary track requirements.</w:t>
      </w:r>
    </w:p>
    <w:p>
      <w:pPr/>
      <w:r>
        <w:t>For optional media, inspect T14 and compare the final script, captions or transcript with the source. Verify speaker approval, reuse rights, context, limitations, audience level and the actual review label. A promotional or instructional video must not inherit a research peer-review label simply by linking to a reviewed article. Link corrections across the article and its derivatives.</w:t>
      </w:r>
    </w:p>
    <w:p>
      <w:pPr>
        <w:pStyle w:val="Heading2"/>
      </w:pPr>
      <w:r>
        <w:t>Decision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0"/>
        <w:gridCol w:w="6882"/>
      </w:tblGrid>
      <w:tr>
        <w:trPr>
          <w:cantSplit/>
          <w:tblHeader/>
        </w:trPr>
        <w:tc>
          <w:tcPr>
            <w:tcW w:type="dxa" w:w="2950"/>
            <w:vAlign w:val="center"/>
            <w:shd w:fill="223F50"/>
            <w:tcMar>
              <w:top w:w="55" w:type="dxa"/>
              <w:left w:w="85" w:type="dxa"/>
              <w:bottom w:w="55" w:type="dxa"/>
              <w:right w:w="85" w:type="dxa"/>
            </w:tcMar>
          </w:tcPr>
          <w:p>
            <w:pPr>
              <w:spacing w:after="20" w:before="0" w:line="245" w:lineRule="auto"/>
            </w:pPr>
            <w:r>
              <w:rPr>
                <w:b/>
                <w:color w:val="FFFFFF"/>
                <w:sz w:val="18"/>
              </w:rPr>
              <w:t>Decision</w:t>
            </w:r>
          </w:p>
        </w:tc>
        <w:tc>
          <w:tcPr>
            <w:tcW w:type="dxa" w:w="6882"/>
            <w:vAlign w:val="center"/>
            <w:shd w:fill="223F50"/>
            <w:tcMar>
              <w:top w:w="55" w:type="dxa"/>
              <w:left w:w="85" w:type="dxa"/>
              <w:bottom w:w="55" w:type="dxa"/>
              <w:right w:w="85" w:type="dxa"/>
            </w:tcMar>
          </w:tcPr>
          <w:p>
            <w:pPr>
              <w:spacing w:after="20" w:before="0" w:line="245" w:lineRule="auto"/>
            </w:pPr>
            <w:r>
              <w:rPr>
                <w:b/>
                <w:color w:val="FFFFFF"/>
                <w:sz w:val="18"/>
              </w:rPr>
              <w:t>Use and required explanation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Return for completion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Missing files or essential declarations; specify what is absent and how to resubmit</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Decline without external review</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Scope, contribution, evidence readiness or integrity concern prevents progression; give a reason</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Major revision</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Substantial but potentially addressable changes; identify essential issues and reassessment route</w:t>
            </w:r>
          </w:p>
        </w:tc>
      </w:tr>
      <w:tr>
        <w:trPr>
          <w:cantSplit/>
        </w:trPr>
        <w:tc>
          <w:tcPr>
            <w:tcW w:type="dxa" w:w="2950"/>
            <w:vAlign w:val="center"/>
            <w:shd w:fill="F3F6F7"/>
            <w:tcMar>
              <w:top w:w="55" w:type="dxa"/>
              <w:left w:w="85" w:type="dxa"/>
              <w:bottom w:w="55" w:type="dxa"/>
              <w:right w:w="85" w:type="dxa"/>
            </w:tcMar>
          </w:tcPr>
          <w:p>
            <w:pPr>
              <w:spacing w:after="20" w:before="0" w:line="245" w:lineRule="auto"/>
            </w:pPr>
            <w:r>
              <w:rPr>
                <w:b w:val="0"/>
                <w:color w:val="000000"/>
                <w:sz w:val="18"/>
              </w:rPr>
              <w:t>Minor revision</w:t>
            </w:r>
          </w:p>
        </w:tc>
        <w:tc>
          <w:tcPr>
            <w:tcW w:type="dxa" w:w="6882"/>
            <w:vAlign w:val="center"/>
            <w:shd w:fill="F3F6F7"/>
            <w:tcMar>
              <w:top w:w="55" w:type="dxa"/>
              <w:left w:w="85" w:type="dxa"/>
              <w:bottom w:w="55" w:type="dxa"/>
              <w:right w:w="85" w:type="dxa"/>
            </w:tcMar>
          </w:tcPr>
          <w:p>
            <w:pPr>
              <w:spacing w:after="20" w:before="0" w:line="245" w:lineRule="auto"/>
            </w:pPr>
            <w:r>
              <w:rPr>
                <w:b w:val="0"/>
                <w:color w:val="000000"/>
                <w:sz w:val="18"/>
              </w:rPr>
              <w:t>Limited corrections; state who will verify them</w:t>
            </w:r>
          </w:p>
        </w:tc>
      </w:tr>
      <w:tr>
        <w:trPr>
          <w:cantSplit/>
        </w:trPr>
        <w:tc>
          <w:tcPr>
            <w:tcW w:type="dxa" w:w="2950"/>
            <w:vAlign w:val="center"/>
            <w:shd w:fill="FFFFFF"/>
            <w:tcMar>
              <w:top w:w="55" w:type="dxa"/>
              <w:left w:w="85" w:type="dxa"/>
              <w:bottom w:w="55" w:type="dxa"/>
              <w:right w:w="85" w:type="dxa"/>
            </w:tcMar>
          </w:tcPr>
          <w:p>
            <w:pPr>
              <w:spacing w:after="20" w:before="0" w:line="245" w:lineRule="auto"/>
            </w:pPr>
            <w:r>
              <w:rPr>
                <w:b w:val="0"/>
                <w:color w:val="000000"/>
                <w:sz w:val="18"/>
              </w:rPr>
              <w:t>Accept</w:t>
            </w:r>
          </w:p>
        </w:tc>
        <w:tc>
          <w:tcPr>
            <w:tcW w:type="dxa" w:w="6882"/>
            <w:vAlign w:val="center"/>
            <w:shd w:fill="FFFFFF"/>
            <w:tcMar>
              <w:top w:w="55" w:type="dxa"/>
              <w:left w:w="85" w:type="dxa"/>
              <w:bottom w:w="55" w:type="dxa"/>
              <w:right w:w="85" w:type="dxa"/>
            </w:tcMar>
          </w:tcPr>
          <w:p>
            <w:pPr>
              <w:spacing w:after="20" w:before="0" w:line="245" w:lineRule="auto"/>
            </w:pPr>
            <w:r>
              <w:rPr>
                <w:b w:val="0"/>
                <w:color w:val="000000"/>
                <w:sz w:val="18"/>
              </w:rPr>
              <w:t>Relevant quality and review requirements satisfied; complete rights and production checks before release</w:t>
            </w:r>
          </w:p>
        </w:tc>
      </w:tr>
    </w:tbl>
    <w:p>
      <w:pPr>
        <w:spacing w:after="0" w:line="80" w:before="0" w:lineRule="exact"/>
      </w:pPr>
      <w:r/>
      <w:r>
        <w:rPr>
          <w:sz w:val="6"/>
        </w:rPr>
      </w:r>
    </w:p>
    <w:p>
      <w:pPr>
        <w:pStyle w:val="Heading2"/>
      </w:pPr>
      <w:r>
        <w:t>Handling disagreement</w:t>
      </w:r>
    </w:p>
    <w:p>
      <w:r>
        <w:t>Editors read the reports and underlying manuscript rather than counting votes. Seek clarification or specialist advice where reports conflict on a material issue. Record the reasoning, including any departure from a recommendation. An apparent ethics problem triggers an evidence-based inquiry and author response, not an automatic misconduct finding.</w:t>
      </w:r>
    </w:p>
    <w:p>
      <w:r>
        <w:t>Proposed reviewer form ratings are Meets, Partly meets, Does not meet and Not applicable, with reasons. There is no automatic pass score. A serious validity or integrity defect cannot be offset by strong presentation ratings.</w:t>
      </w:r>
    </w:p>
    <w:p>
      <w:pPr>
        <w:pStyle w:val="Heading1"/>
        <w:pageBreakBefore w:val="0"/>
      </w:pPr>
      <w:r>
        <w:t>Editorial workflow and service targets</w:t>
      </w:r>
    </w:p>
    <w:p>
      <w:r>
        <w:t>Targets below are proposed internal operating standards, not published PRAPJ performance statistics or guarantees. Record calendar timestamps for reporting even where the service target uses working days.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53"/>
        <w:gridCol w:w="3638"/>
        <w:gridCol w:w="3441"/>
      </w:tblGrid>
      <w:tr>
        <w:trPr>
          <w:cantSplit/>
          <w:tblHeader/>
        </w:trPr>
        <w:tc>
          <w:tcPr>
            <w:tcW w:type="dxa" w:w="2753"/>
            <w:vAlign w:val="center"/>
            <w:shd w:fill="223F50"/>
            <w:tcMar>
              <w:top w:w="55" w:type="dxa"/>
              <w:left w:w="85" w:type="dxa"/>
              <w:bottom w:w="55" w:type="dxa"/>
              <w:right w:w="85" w:type="dxa"/>
            </w:tcMar>
          </w:tcPr>
          <w:p>
            <w:pPr>
              <w:spacing w:after="20" w:before="0" w:line="245" w:lineRule="auto"/>
            </w:pPr>
            <w:r>
              <w:rPr>
                <w:b/>
                <w:color w:val="FFFFFF"/>
                <w:sz w:val="18"/>
              </w:rPr>
              <w:t>Stage</w:t>
            </w:r>
          </w:p>
        </w:tc>
        <w:tc>
          <w:tcPr>
            <w:tcW w:type="dxa" w:w="3638"/>
            <w:vAlign w:val="center"/>
            <w:shd w:fill="223F50"/>
            <w:tcMar>
              <w:top w:w="55" w:type="dxa"/>
              <w:left w:w="85" w:type="dxa"/>
              <w:bottom w:w="55" w:type="dxa"/>
              <w:right w:w="85" w:type="dxa"/>
            </w:tcMar>
          </w:tcPr>
          <w:p>
            <w:pPr>
              <w:spacing w:after="20" w:before="0" w:line="245" w:lineRule="auto"/>
            </w:pPr>
            <w:r>
              <w:rPr>
                <w:b/>
                <w:color w:val="FFFFFF"/>
                <w:sz w:val="18"/>
              </w:rPr>
              <w:t>Owner and target</w:t>
            </w:r>
          </w:p>
        </w:tc>
        <w:tc>
          <w:tcPr>
            <w:tcW w:type="dxa" w:w="3441"/>
            <w:vAlign w:val="center"/>
            <w:shd w:fill="223F50"/>
            <w:tcMar>
              <w:top w:w="55" w:type="dxa"/>
              <w:left w:w="85" w:type="dxa"/>
              <w:bottom w:w="55" w:type="dxa"/>
              <w:right w:w="85" w:type="dxa"/>
            </w:tcMar>
          </w:tcPr>
          <w:p>
            <w:pPr>
              <w:spacing w:after="20" w:before="0" w:line="245" w:lineRule="auto"/>
            </w:pPr>
            <w:r>
              <w:rPr>
                <w:b/>
                <w:color w:val="FFFFFF"/>
                <w:sz w:val="18"/>
              </w:rPr>
              <w:t>Required record or control</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Receipt and completeness</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Office within 5 working days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Manuscript ID, version, files, metadata and missing items</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Scope and evidence screening</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Assigned editor within 10 working days of complete receipt</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Route, fit, integrity checks, decision and reasons</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Reviewer invitation</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Editor; seek replies within 7 calendar days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Expertise, independence and accept or decline log</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Review</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Reviewer; normally 28 calendar days after acceptance</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Agreed due date, report and any extension</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Follow-up</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Office at due date; editor after 7 overdue days</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Reminder, revised date or replacement decision</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Decision after reports</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Editor within 10 working days where feasible</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Considered reports and reasoned letter</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Author revision</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Proposed 30 days minor or 60 days major, varied by editor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Clean and marked files plus point-by-point response</w:t>
            </w:r>
          </w:p>
        </w:tc>
      </w:tr>
      <w:tr>
        <w:trPr>
          <w:cantSplit/>
        </w:trPr>
        <w:tc>
          <w:tcPr>
            <w:tcW w:type="dxa" w:w="2753"/>
            <w:vAlign w:val="center"/>
            <w:shd w:fill="F3F6F7"/>
            <w:tcMar>
              <w:top w:w="55" w:type="dxa"/>
              <w:left w:w="85" w:type="dxa"/>
              <w:bottom w:w="55" w:type="dxa"/>
              <w:right w:w="85" w:type="dxa"/>
            </w:tcMar>
          </w:tcPr>
          <w:p>
            <w:pPr>
              <w:spacing w:after="20" w:before="0" w:line="245" w:lineRule="auto"/>
            </w:pPr>
            <w:r>
              <w:rPr>
                <w:b w:val="0"/>
                <w:color w:val="000000"/>
                <w:sz w:val="18"/>
              </w:rPr>
              <w:t>Production and proof</w:t>
            </w:r>
          </w:p>
        </w:tc>
        <w:tc>
          <w:tcPr>
            <w:tcW w:type="dxa" w:w="3638"/>
            <w:vAlign w:val="center"/>
            <w:shd w:fill="F3F6F7"/>
            <w:tcMar>
              <w:top w:w="55" w:type="dxa"/>
              <w:left w:w="85" w:type="dxa"/>
              <w:bottom w:w="55" w:type="dxa"/>
              <w:right w:w="85" w:type="dxa"/>
            </w:tcMar>
          </w:tcPr>
          <w:p>
            <w:pPr>
              <w:spacing w:after="20" w:before="0" w:line="245" w:lineRule="auto"/>
            </w:pPr>
            <w:r>
              <w:rPr>
                <w:b w:val="0"/>
                <w:color w:val="000000"/>
                <w:sz w:val="18"/>
              </w:rPr>
              <w:t>Office and author; proposed 5 working days for author proof</w:t>
            </w:r>
          </w:p>
        </w:tc>
        <w:tc>
          <w:tcPr>
            <w:tcW w:type="dxa" w:w="3441"/>
            <w:vAlign w:val="center"/>
            <w:shd w:fill="F3F6F7"/>
            <w:tcMar>
              <w:top w:w="55" w:type="dxa"/>
              <w:left w:w="85" w:type="dxa"/>
              <w:bottom w:w="55" w:type="dxa"/>
              <w:right w:w="85" w:type="dxa"/>
            </w:tcMar>
          </w:tcPr>
          <w:p>
            <w:pPr>
              <w:spacing w:after="20" w:before="0" w:line="245" w:lineRule="auto"/>
            </w:pPr>
            <w:r>
              <w:rPr>
                <w:b w:val="0"/>
                <w:color w:val="000000"/>
                <w:sz w:val="18"/>
              </w:rPr>
              <w:t>Source completeness, rights, metadata and author signoff</w:t>
            </w:r>
          </w:p>
        </w:tc>
      </w:tr>
      <w:tr>
        <w:trPr>
          <w:cantSplit/>
        </w:trPr>
        <w:tc>
          <w:tcPr>
            <w:tcW w:type="dxa" w:w="2753"/>
            <w:vAlign w:val="center"/>
            <w:shd w:fill="FFFFFF"/>
            <w:tcMar>
              <w:top w:w="55" w:type="dxa"/>
              <w:left w:w="85" w:type="dxa"/>
              <w:bottom w:w="55" w:type="dxa"/>
              <w:right w:w="85" w:type="dxa"/>
            </w:tcMar>
          </w:tcPr>
          <w:p>
            <w:pPr>
              <w:spacing w:after="20" w:before="0" w:line="245" w:lineRule="auto"/>
            </w:pPr>
            <w:r>
              <w:rPr>
                <w:b w:val="0"/>
                <w:color w:val="000000"/>
                <w:sz w:val="18"/>
              </w:rPr>
              <w:t>Release</w:t>
            </w:r>
          </w:p>
        </w:tc>
        <w:tc>
          <w:tcPr>
            <w:tcW w:type="dxa" w:w="3638"/>
            <w:vAlign w:val="center"/>
            <w:shd w:fill="FFFFFF"/>
            <w:tcMar>
              <w:top w:w="55" w:type="dxa"/>
              <w:left w:w="85" w:type="dxa"/>
              <w:bottom w:w="55" w:type="dxa"/>
              <w:right w:w="85" w:type="dxa"/>
            </w:tcMar>
          </w:tcPr>
          <w:p>
            <w:pPr>
              <w:spacing w:after="20" w:before="0" w:line="245" w:lineRule="auto"/>
            </w:pPr>
            <w:r>
              <w:rPr>
                <w:b w:val="0"/>
                <w:color w:val="000000"/>
                <w:sz w:val="18"/>
              </w:rPr>
              <w:t>Responsible editor and production owner</w:t>
            </w:r>
          </w:p>
        </w:tc>
        <w:tc>
          <w:tcPr>
            <w:tcW w:type="dxa" w:w="3441"/>
            <w:vAlign w:val="center"/>
            <w:shd w:fill="FFFFFF"/>
            <w:tcMar>
              <w:top w:w="55" w:type="dxa"/>
              <w:left w:w="85" w:type="dxa"/>
              <w:bottom w:w="55" w:type="dxa"/>
              <w:right w:w="85" w:type="dxa"/>
            </w:tcMar>
          </w:tcPr>
          <w:p>
            <w:pPr>
              <w:spacing w:after="20" w:before="0" w:line="245" w:lineRule="auto"/>
            </w:pPr>
            <w:r>
              <w:rPr>
                <w:b w:val="0"/>
                <w:color w:val="000000"/>
                <w:sz w:val="18"/>
              </w:rPr>
              <w:t>Final files, accurate label, licence, persistent link and archive</w:t>
            </w:r>
          </w:p>
        </w:tc>
      </w:tr>
    </w:tbl>
    <w:p>
      <w:pPr>
        <w:spacing w:after="0" w:line="80" w:before="0" w:lineRule="exact"/>
      </w:pPr>
      <w:r/>
      <w:r>
        <w:rPr>
          <w:sz w:val="6"/>
        </w:rPr>
      </w:r>
    </w:p>
    <w:p>
      <w:pPr>
        <w:pStyle w:val="Heading2"/>
      </w:pPr>
      <w:r>
        <w:t>Standard sequence</w:t>
      </w:r>
    </w:p>
    <w:p>
      <w:r>
        <w:t>Receive → check files → assign independent editor → screen → commission appropriate assessment → decide → revise as needed → accept → clear rights → copyedit and typeset → obtain proof corrections → verify metadata and release. An administrative status of accepted is not a substitute for the signed publishing agreement or permissions check.</w:t>
      </w:r>
    </w:p>
    <w:p>
      <w:r>
        <w:t>For a research manuscript, do not move from review to acceptance until the independent-report requirement is fulfilled. For a brief, store source links and the translation check. For a revision, preserve each version and the response to comments. For a withdrawn paper, confirm withdrawal in writing and retain the decision trail according to adopted retention rules.</w:t>
      </w:r>
    </w:p>
    <w:p>
      <w:pPr>
        <w:pStyle w:val="Heading2"/>
      </w:pPr>
      <w:r>
        <w:t>Publication readiness</w:t>
      </w:r>
    </w:p>
    <w:p>
      <w:r>
        <w:t>Verify title, authors, affiliations, summary, decision-relevance statement, keywords, declarations, references, licence, third-party credits, accessible figures, article type and actual review label. Register an identifier only through an authorised service and check that it resolves. Link related research and briefs in both directions. A DOI does not establish indexing or quality recognition.</w:t>
      </w:r>
    </w:p>
    <w:p>
      <w:pPr>
        <w:pStyle w:val="Heading2"/>
      </w:pPr>
      <w:r>
        <w:t>Training and calibration</w:t>
      </w:r>
    </w:p>
    <w:p>
      <w:r>
        <w:t>Before launch, two editors independently screen the same sample case and research manuscript, then compare reasons. Ask novice reviewers to discuss a non-confidential training example with an editor. Record inconsistencies and revise guidance before processing real submissions. Monitor timeliness alongside report usefulness and fairness rather than setting pressure to accept a fixed number of papers.</w:t>
      </w:r>
    </w:p>
    <w:p>
      <w:pPr>
        <w:pStyle w:val="Heading1"/>
        <w:pageBreakBefore w:val="0"/>
      </w:pPr>
      <w:r>
        <w:t>Integrity continuity and reporting</w:t>
      </w:r>
    </w:p>
    <w:p>
      <w:pPr>
        <w:pStyle w:val="Heading2"/>
      </w:pPr>
      <w:r>
        <w:t>Appeals and complaints</w:t>
      </w:r>
    </w:p>
    <w:p>
      <w:r>
        <w:t>Use the independent route in the TOR. Authors have a proposed 30 calendar days to identify a factual or procedural concern. Acknowledge within five working days and aim to respond within 30 calendar days, with updates every 20 working days if delayed. An implicated editor must not assess their own appeal. Publish official contacts before opening submissions; no invented address appears in this draft.</w:t>
      </w:r>
    </w:p>
    <w:p>
      <w:r>
        <w:t>For suspected misconduct, preserve the record, identify an independent handler, assess the evidence and invite an author response. Seek institutional or specialist input when required. Correct misleading published information through a linked notice; keep a clear version history. An expression of concern or retraction needs a reasoned process. Do not silently replace substantive findings.</w:t>
      </w:r>
    </w:p>
    <w:p>
      <w:pPr>
        <w:pStyle w:val="Heading2"/>
      </w:pPr>
      <w:r>
        <w:t>Records and access</w:t>
      </w:r>
    </w:p>
    <w:p>
      <w:r>
        <w:t>The host sets retention periods and a lawful privacy notice before collecting real submissions. Limit access to assigned roles; restrict title pages, permissions evidence and identity keys from anonymous reviewers. Log access changes, conflicts, decisions, file versions and release actions. Store confidential consent documents separately from material intended for publication.</w:t>
      </w:r>
    </w:p>
    <w:p>
      <w:r>
        <w:t>Test a backup restore and a complete export of published files, metadata and policy versions before launch. If funding ends, stop taking new obligations, notify affected contributors through authorised channels, agree a completion or withdrawal route and preserve the published record. A named operational successor must receive credentials through the host's approved process, not through a public handover document.</w:t>
      </w:r>
    </w:p>
    <w:p>
      <w:pPr>
        <w:pStyle w:val="Heading2"/>
      </w:pPr>
      <w:r>
        <w:t>Dashboard definitions</w:t>
      </w:r>
    </w:p>
    <w:p>
      <w:r>
        <w:t>Report unique submissions by track; proportion returned incomplete; desk declines; manuscripts sent to review; invitation responses; completed reports; overdue assignments; revision cycles; accepted and published items; median and range of each elapsed stage. Show the period and denominator and avoid small-cell reporting that reveals confidential identities.</w:t>
      </w:r>
    </w:p>
    <w:p>
      <w:pPr/>
      <w:r>
        <w:t>Separate invitation acceptance, eventual completion after acceptance and completion by the agreed date. Distinguish these from planned reviewer utilisation. Record staff time for supported interviews, drafting, contributor checks, media production and corrections so the service can be limited to available capacity.</w:t>
      </w:r>
    </w:p>
    <w:p>
      <w:r>
        <w:t>Record outputs, views and downloads separately from evidence of use. For optional media, distinguish a view from meaningful consumption using a stated measure. Record voluntary usefulness ratings from one to five, free-text explanations, repeat use and recommendations with periods and denominators. Feedback is not proof of causal project improvement; obtain permission before publishing a testimonial.</w:t>
      </w:r>
    </w:p>
    <w:p>
      <w:pPr>
        <w:pStyle w:val="Heading2"/>
      </w:pPr>
      <w:r>
        <w:t>Policy differences found in benchmarking</w:t>
      </w:r>
    </w:p>
    <w:p>
      <w:r>
        <w:t>Emerald's reviewer-process page prohibits AI assistance in reviewing and also describes review-report confidentiality. Its broader ethics page permits declared copy-editing of review reports while still prohibiting manuscript uploads and AI evaluation. PRAPJ should not merge these into an apparently identical rule. The proposed pilot takes the simpler position of no generative-AI use with confidential review material; authors' disclosed, verified AI assistance is governed separately in the author guide. [E6, E9]</w:t>
      </w:r>
    </w:p>
    <w:p>
      <w:pPr>
        <w:pStyle w:val="Heading2"/>
      </w:pPr>
      <w:r>
        <w:t>References and document control</w:t>
      </w:r>
    </w:p>
    <w:p>
      <w:pPr>
        <w:spacing w:after="100"/>
      </w:pPr>
      <w:r>
        <w:t xml:space="preserve">E4. </w:t>
      </w:r>
      <w:hyperlink r:id="rId10">
        <w:r>
          <w:rPr>
            <w:color w:val="24556C"/>
            <w:u w:val="single"/>
          </w:rPr>
          <w:t>Emerald peer review pillars and principles</w:t>
        </w:r>
      </w:hyperlink>
    </w:p>
    <w:p>
      <w:pPr>
        <w:spacing w:after="100"/>
      </w:pPr>
      <w:r>
        <w:t xml:space="preserve">E6. </w:t>
      </w:r>
      <w:hyperlink r:id="rId11">
        <w:r>
          <w:rPr>
            <w:color w:val="24556C"/>
            <w:u w:val="single"/>
          </w:rPr>
          <w:t>Emerald journal peer review process</w:t>
        </w:r>
      </w:hyperlink>
    </w:p>
    <w:p>
      <w:pPr>
        <w:spacing w:after="100"/>
      </w:pPr>
      <w:r>
        <w:t xml:space="preserve">E7. </w:t>
      </w:r>
      <w:hyperlink r:id="rId12">
        <w:r>
          <w:rPr>
            <w:color w:val="24556C"/>
            <w:u w:val="single"/>
          </w:rPr>
          <w:t>Emerald guidance on bias</w:t>
        </w:r>
      </w:hyperlink>
    </w:p>
    <w:p>
      <w:pPr>
        <w:spacing w:after="100"/>
      </w:pPr>
      <w:r>
        <w:t xml:space="preserve">E9. </w:t>
      </w:r>
      <w:hyperlink r:id="rId13">
        <w:r>
          <w:rPr>
            <w:color w:val="24556C"/>
            <w:u w:val="single"/>
          </w:rPr>
          <w:t>Emerald publication ethics</w:t>
        </w:r>
      </w:hyperlink>
    </w:p>
    <w:p>
      <w:r>
        <w:t>Policy owner: proposed Editor-in-Chief. Approval and effective date: pending. Review after six pilot months and annually. T07–T10 and T12 support handling; T13 and T14 support interview-derived contributions and media. James Bawtree's supplied 8 October 2026 interview summary informed the new practical checks. All operating resources and financial scenarios remain uncommitted.</w:t>
      </w:r>
    </w:p>
    <w:sectPr w:rsidR="00FC693F" w:rsidRPr="0006063C" w:rsidSect="00034616">
      <w:footerReference w:type="default" r:id="rId9"/>
      <w:pgSz w:w="11905" w:h="16838"/>
      <w:pgMar w:top="965" w:right="1037" w:bottom="965"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PRAPJ  •  Reviewer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57"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line="25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57"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57"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emerald.com/research-services/research-services/1529/Our-peer-review-key-pillars-and-principles" TargetMode="External"/><Relationship Id="rId11" Type="http://schemas.openxmlformats.org/officeDocument/2006/relationships/hyperlink" Target="https://www.emerald.com/research-services/research-services/1527/the-journal-peer-review-process" TargetMode="External"/><Relationship Id="rId12" Type="http://schemas.openxmlformats.org/officeDocument/2006/relationships/hyperlink" Target="https://www.emerald.com/research-services/research-services/1528/how-to-manage-bias-in-peer-review" TargetMode="External"/><Relationship Id="rId13" Type="http://schemas.openxmlformats.org/officeDocument/2006/relationships/hyperlink" Target="https://www.emerald.com/publish-with-us/pages/publication-eth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Reviewer Guide</dc:title>
  <dc:subject>PRAPJ capstone deliverable for sponsor review</dc:subject>
  <dc:creator>Team DOMINUS</dc:creator>
  <cp:keywords/>
  <dc:description>Updated 8 October 2026. Proposed for editorial adoption; no approved or allocated actual capstone budget or committed journal funding.</dc:description>
  <cp:lastModifiedBy/>
  <cp:revision>1</cp:revision>
  <dcterms:created xsi:type="dcterms:W3CDTF">2013-12-23T23:15:00Z</dcterms:created>
  <dcterms:modified xsi:type="dcterms:W3CDTF">2013-12-23T23:15:00Z</dcterms:modified>
  <cp:category/>
</cp:coreProperties>
</file>