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About and Publish</w:t>
      </w:r>
    </w:p>
    <w:p>
      <w:r>
        <w:t>Version 1.3 | 8 October 2026 | Proposed for editorial adoption</w:t>
      </w:r>
    </w:p>
    <w:p>
      <w:r>
        <w:t>Website copy for the team building the PRAPJ site. Editorial notes and unconfirmed information must be resolved before public release. Design and implementation are handled separately.</w:t>
      </w:r>
    </w:p>
    <w:p>
      <w:pPr>
        <w:pStyle w:val="Heading1"/>
      </w:pPr>
      <w:r>
        <w:t>About</w:t>
      </w:r>
    </w:p>
    <w:p>
      <w:pPr>
        <w:pStyle w:val="Heading2"/>
      </w:pPr>
      <w:r>
        <w:t>Aims and scope</w:t>
      </w:r>
    </w:p>
    <w:p>
      <w:r>
        <w:t>The Project Research and Practice Journal (PRAPJ) is being developed for formal publication as an international journal connecting project research with professional practice. Its initial focus is experienced and mid-career project professionals who need credible evidence for real decisions and can contribute practical knowledge. Researchers and educators are part of this exchange; selected accessible explanations may later support students and emerging professionals.</w:t>
      </w:r>
    </w:p>
    <w:p>
      <w:r>
        <w:t>PRAPJ’s scope encompasses projects, programs, portfolios, project-based organisations and the settings in which they operate. It welcomes contributions that explain how projects are conceived, governed, delivered and evaluated, and how their consequences affect organisations, communities and society.</w:t>
      </w:r>
    </w:p>
    <w:p>
      <w:r>
        <w:t>Relevant topics include governance and controls; credible and deliverable business cases; skilled resources; dependencies across projects and organisational silos; portfolio prioritisation; benefits and value; leadership and collaboration; risk, uncertainty and complexity; procurement; learning; AI and digital change; and sustainability. Contributions should connect a problem to a project objective and assessable evidence.</w:t>
      </w:r>
    </w:p>
    <w:p>
      <w:r>
        <w:t>Contributions may address infrastructure, construction, technology, manufacturing, healthcare, public administration or other project settings. Explain the objective, evidence sources and material context. Learning may transfer across industries when objectives and conditions are comparable; identify what the reader must verify and where the lesson may fail.</w:t>
      </w:r>
    </w:p>
    <w:p>
      <w:r>
        <w:t>PRAPJ’s proposed content model combines Research Articles, Practitioner Cases, Research-to-Practice Briefs, and Practice Challenges or Evidence Notes. Research is evaluated for its contribution, methods and evidence. Practice contributions are assessed for the credibility of their account and the conditions under which their lessons may transfer. Translation content connects practical implications to identifiable source evidence.</w:t>
      </w:r>
    </w:p>
    <w:p>
      <w:r>
        <w:t>PRAPJ values transparent methods, proportionate claims and clear limitations. Negative findings, unsuccessful interventions and mixed outcomes can make useful contributions when they support credible learning. Promotional stories, unsupported opinion and technical studies with no substantive project-management contribution are outside the proposed scope.</w:t>
      </w:r>
    </w:p>
    <w:p>
      <w:pPr>
        <w:pStyle w:val="Heading1"/>
      </w:pPr>
      <w:r>
        <w:t>About editorial leadership and governance</w:t>
      </w:r>
    </w:p>
    <w:p>
      <w:pPr>
        <w:pStyle w:val="Heading2"/>
      </w:pPr>
      <w:r>
        <w:t>Editorial board</w:t>
      </w:r>
    </w:p>
    <w:p>
      <w:r>
        <w:t>PRAPJ’s editorial structure is designed to bring scholarly expertise and professional judgement into the evaluation of project knowledge. Confirmed editors and board members will be listed with their responsibilities, affiliations, areas of expertise and country or region.</w:t>
      </w:r>
    </w:p>
    <w:p>
      <w:r>
        <w:t>The Editor-in-Chief will lead the editorial programme and hold responsibility for manuscript decisions under the adopted policies. Research editors will oversee research contributions. Practice and Translation Editors will oversee practitioner evidence and the fidelity of research-to-practice content. The editorial office will coordinate submission records, communications and production.</w:t>
      </w:r>
    </w:p>
    <w:p>
      <w:r>
        <w:t>An Advisory Board will support strategy, community engagement and the long-term development of the journal. Advisory membership will be distinguished from responsibility for evaluating individual submissions.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keepNext/>
              <w:spacing w:after="20" w:before="0" w:line="245" w:lineRule="auto"/>
            </w:pPr>
            <w:r>
              <w:rPr>
                <w:b/>
                <w:color w:val="FFFFFF"/>
                <w:sz w:val="18"/>
              </w:rPr>
              <w:t>Public profile field</w:t>
            </w:r>
          </w:p>
        </w:tc>
        <w:tc>
          <w:tcPr>
            <w:tcW w:type="dxa" w:w="6882"/>
            <w:vAlign w:val="center"/>
            <w:shd w:fill="223F50"/>
            <w:tcMar>
              <w:top w:w="55" w:type="dxa"/>
              <w:left w:w="85" w:type="dxa"/>
              <w:bottom w:w="55" w:type="dxa"/>
              <w:right w:w="85" w:type="dxa"/>
            </w:tcMar>
          </w:tcPr>
          <w:p>
            <w:pPr>
              <w:keepNext/>
              <w:spacing w:after="20" w:before="0" w:line="245" w:lineRule="auto"/>
            </w:pPr>
            <w:r>
              <w:rPr>
                <w:b/>
                <w:color w:val="FFFFFF"/>
                <w:sz w:val="18"/>
              </w:rPr>
              <w:t>Information to publish after appointment is accepted</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Name and role</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Full preferred name and exact editorial appointment</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Affiliation</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Approved institutional or professional affiliation</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Expertise</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Research themes, methods or areas of professional practice</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Location</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Country or region associated with the appointment</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Biography</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Short professional biography and verified profile link</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Term and responsibilities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Appointment period and principal responsibilities</w:t>
            </w:r>
          </w:p>
        </w:tc>
      </w:tr>
    </w:tbl>
    <w:p>
      <w:pPr>
        <w:spacing w:after="0" w:line="80" w:before="0" w:lineRule="exact"/>
      </w:pPr>
      <w:r/>
      <w:r>
        <w:rPr>
          <w:sz w:val="6"/>
        </w:rPr>
      </w:r>
    </w:p>
    <w:p>
      <w:pPr>
        <w:pStyle w:val="Heading2"/>
      </w:pPr>
      <w:r>
        <w:t>Editorial independence</w:t>
      </w:r>
    </w:p>
    <w:p>
      <w:r>
        <w:t>The proposed governance model gives editorial decisions to the Editor-in-Chief or an independent delegated editor. Sponsors and advisers support the mission and resources of the journal without directing acceptance or rejection of individual manuscripts. Submissions from editors, advisers or people with relevant relationships will receive independent handling.</w:t>
      </w:r>
    </w:p>
    <w:p>
      <w:pPr>
        <w:pStyle w:val="Heading2"/>
      </w:pPr>
      <w:r>
        <w:t>Review expertise</w:t>
      </w:r>
    </w:p>
    <w:p>
      <w:r>
        <w:t>Research Articles and Evidence Reviews require at least two independent external reports under the proposed double-anonymous model. Practitioner Cases normally receive two reports covering practice and research evidence. Briefs receive editorial translation review; Practice Challenges and Evidence Notes receive editorial and domain assessment with further review when necessary. Each item will identify its actual assessment route.</w:t>
      </w:r>
    </w:p>
    <w:p>
      <w:pPr>
        <w:pStyle w:val="Heading2"/>
      </w:pPr>
      <w:r>
        <w:t>Institutional and community relationships</w:t>
      </w:r>
    </w:p>
    <w:p>
      <w:r>
        <w:t>PRAPJ’s business case identifies the PMDOK community as a potential source of research, cases and professional questions. The nature of any formal partnership, institutional hosting or professional-body affiliation will be stated once confirmed. Invitations arising from a conference or community event will remain subject to the relevant editorial and review standards.</w:t>
      </w:r>
    </w:p>
    <w:p>
      <w:pPr>
        <w:pStyle w:val="Heading2"/>
      </w:pPr>
      <w:r>
        <w:t>Editorial office</w:t>
      </w:r>
    </w:p>
    <w:p>
      <w:r>
        <w:t>Editorial and technical contact details will be published when the responsible roles and submission channel are confirmed. Prospective contributors should use only the contact information displayed on the official journal website.</w:t>
      </w:r>
    </w:p>
    <w:p>
      <w:pPr>
        <w:pStyle w:val="Heading1"/>
      </w:pPr>
      <w:r>
        <w:t>About journal insights</w:t>
      </w:r>
    </w:p>
    <w:p>
      <w:pPr>
        <w:pStyle w:val="Heading2"/>
      </w:pPr>
      <w:r>
        <w:t>Journal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keepNext/>
              <w:spacing w:after="20" w:before="0" w:line="245" w:lineRule="auto"/>
            </w:pPr>
            <w:r>
              <w:rPr>
                <w:b/>
                <w:color w:val="FFFFFF"/>
                <w:sz w:val="18"/>
              </w:rPr>
              <w:t>Information</w:t>
            </w:r>
          </w:p>
        </w:tc>
        <w:tc>
          <w:tcPr>
            <w:tcW w:type="dxa" w:w="6882"/>
            <w:vAlign w:val="center"/>
            <w:shd w:fill="223F50"/>
            <w:tcMar>
              <w:top w:w="55" w:type="dxa"/>
              <w:left w:w="85" w:type="dxa"/>
              <w:bottom w:w="55" w:type="dxa"/>
              <w:right w:w="85" w:type="dxa"/>
            </w:tcMar>
          </w:tcPr>
          <w:p>
            <w:pPr>
              <w:keepNext/>
              <w:spacing w:after="20" w:before="0" w:line="245" w:lineRule="auto"/>
            </w:pPr>
            <w:r>
              <w:rPr>
                <w:b/>
                <w:color w:val="FFFFFF"/>
                <w:sz w:val="18"/>
              </w:rPr>
              <w:t>PRAPJ content</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Full title</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Project Research and Practice Journal</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Abbreviation</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PRAPJ</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Subject areas</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Project management, project organising, governance, leadership, organisational learning and research-practice exchange</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Intended readership</w:t>
            </w:r>
          </w:p>
        </w:tc>
        <w:tc>
          <w:tcPr>
            <w:tcW w:type="dxa" w:w="6882"/>
            <w:vAlign w:val="center"/>
            <w:shd w:fill="F3F6F7"/>
            <w:tcMar>
              <w:top w:w="55" w:type="dxa"/>
              <w:left w:w="85" w:type="dxa"/>
              <w:bottom w:w="55" w:type="dxa"/>
              <w:right w:w="85" w:type="dxa"/>
            </w:tcMar>
          </w:tcPr>
          <w:p>
            <w:pPr>
              <w:keepNext/>
            </w:pPr>
            <w:r>
              <w:t>Primary: experienced and mid-career project professionals. Also researchers and educators; selected student explanations may follow.</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Language</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English under the proposed author requirements</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Publication format</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Digital-first model proposed</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Core content</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Research Articles; Practitioner Cases; Research-to-Practice Briefs; Practice Challenges or Evidence Notes</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Access and charges</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Diamond open access is the preferred model, subject to confirmed support and adoption</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Publication frequency</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Rolling publication and two curated issue collections annually are proposed for the pilot</w:t>
            </w:r>
          </w:p>
        </w:tc>
      </w:tr>
      <w:tr>
        <w:trPr>
          <w:cantSplit/>
        </w:trPr>
        <w:tc>
          <w:tcPr>
            <w:tcW w:type="dxa" w:w="2950"/>
            <w:vAlign w:val="center"/>
            <w:shd w:fill="F3F6F7"/>
            <w:tcMar>
              <w:top w:w="55" w:type="dxa"/>
              <w:left w:w="85" w:type="dxa"/>
              <w:bottom w:w="55" w:type="dxa"/>
              <w:right w:w="85" w:type="dxa"/>
            </w:tcMar>
          </w:tcPr>
          <w:p>
            <w:pPr>
              <w:keepNext/>
              <w:spacing w:after="20" w:before="0" w:line="245" w:lineRule="auto"/>
            </w:pPr>
            <w:r>
              <w:rPr>
                <w:b w:val="0"/>
                <w:color w:val="000000"/>
                <w:sz w:val="18"/>
              </w:rPr>
              <w:t>Publisher and host</w:t>
            </w:r>
          </w:p>
        </w:tc>
        <w:tc>
          <w:tcPr>
            <w:tcW w:type="dxa" w:w="6882"/>
            <w:vAlign w:val="center"/>
            <w:shd w:fill="F3F6F7"/>
            <w:tcMar>
              <w:top w:w="55" w:type="dxa"/>
              <w:left w:w="85" w:type="dxa"/>
              <w:bottom w:w="55" w:type="dxa"/>
              <w:right w:w="85" w:type="dxa"/>
            </w:tcMar>
          </w:tcPr>
          <w:p>
            <w:pPr>
              <w:keepNext/>
              <w:spacing w:after="20" w:before="0" w:line="245" w:lineRule="auto"/>
            </w:pPr>
            <w:r>
              <w:rPr>
                <w:b w:val="0"/>
                <w:color w:val="000000"/>
                <w:sz w:val="18"/>
              </w:rPr>
              <w:t>To be confirmed</w:t>
            </w:r>
          </w:p>
        </w:tc>
      </w:tr>
      <w:tr>
        <w:trPr>
          <w:cantSplit/>
        </w:trPr>
        <w:tc>
          <w:tcPr>
            <w:tcW w:type="dxa" w:w="2950"/>
            <w:vAlign w:val="center"/>
            <w:shd w:fill="FFFFFF"/>
            <w:tcMar>
              <w:top w:w="55" w:type="dxa"/>
              <w:left w:w="85" w:type="dxa"/>
              <w:bottom w:w="55" w:type="dxa"/>
              <w:right w:w="85" w:type="dxa"/>
            </w:tcMar>
          </w:tcPr>
          <w:p>
            <w:pPr>
              <w:keepNext/>
              <w:spacing w:after="20" w:before="0" w:line="245" w:lineRule="auto"/>
            </w:pPr>
            <w:r>
              <w:rPr>
                <w:b w:val="0"/>
                <w:color w:val="000000"/>
                <w:sz w:val="18"/>
              </w:rPr>
              <w:t>Online and print ISSN</w:t>
            </w:r>
          </w:p>
        </w:tc>
        <w:tc>
          <w:tcPr>
            <w:tcW w:type="dxa" w:w="6882"/>
            <w:vAlign w:val="center"/>
            <w:shd w:fill="FFFFFF"/>
            <w:tcMar>
              <w:top w:w="55" w:type="dxa"/>
              <w:left w:w="85" w:type="dxa"/>
              <w:bottom w:w="55" w:type="dxa"/>
              <w:right w:w="85" w:type="dxa"/>
            </w:tcMar>
          </w:tcPr>
          <w:p>
            <w:pPr>
              <w:keepNext/>
              <w:spacing w:after="20" w:before="0" w:line="245" w:lineRule="auto"/>
            </w:pPr>
            <w:r>
              <w:rPr>
                <w:b w:val="0"/>
                <w:color w:val="000000"/>
                <w:sz w:val="18"/>
              </w:rPr>
              <w:t>To be announced following registration of the relevant publication formats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DOI and preservation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Service arrangements to be confirmed</w:t>
            </w:r>
          </w:p>
        </w:tc>
      </w:tr>
    </w:tbl>
    <w:p>
      <w:pPr>
        <w:spacing w:after="0" w:line="80" w:before="0" w:lineRule="exact"/>
      </w:pPr>
      <w:r/>
      <w:r>
        <w:rPr>
          <w:sz w:val="6"/>
        </w:rPr>
      </w:r>
    </w:p>
    <w:p>
      <w:pPr>
        <w:pStyle w:val="Heading2"/>
      </w:pPr>
      <w:r>
        <w:t>Publishing timeline</w:t>
      </w:r>
    </w:p>
    <w:p>
      <w:r>
        <w:t>PRAPJ has no verified publication history from which to report processing statistics. Information on submission assessment, review and publication will be added. Review duration will vary with article type, reviewer availability and the extent of revision.</w:t>
      </w:r>
    </w:p>
    <w:p>
      <w:r>
        <w:t>For future reporting, the journal should distinguish submission to initial decision; submission to the first decision following external review; submission to acceptance; and acceptance to online publication. Published figures should identify the reporting period and the relevant article population.</w:t>
      </w:r>
    </w:p>
    <w:p>
      <w:pPr>
        <w:pStyle w:val="Heading2"/>
      </w:pPr>
      <w:r>
        <w:t>Abstracting and indexing</w:t>
      </w:r>
    </w:p>
    <w:p>
      <w:r>
        <w:t>Indexing information will identify services that have independently confirmed inclusion. Planned applications, metadata registration and a DOI do not establish inclusion in a citation database. Indexing coverage will be updated as the journal develops.</w:t>
      </w:r>
    </w:p>
    <w:p>
      <w:pPr>
        <w:pStyle w:val="Heading2"/>
      </w:pPr>
      <w:r>
        <w:t>Impact and use</w:t>
      </w:r>
    </w:p>
    <w:p>
      <w:r>
        <w:t>Citation indicators will be reported only when independently assigned. PRAPJ also intends to examine how its content is used in professional and educational settings, including engagement with briefs and documented examples of application. Such measures will be distinguished from citation-based indicators and will not imply that use caused a particular project outcome.</w:t>
      </w:r>
    </w:p>
    <w:p>
      <w:pPr>
        <w:pStyle w:val="Heading1"/>
      </w:pPr>
      <w:r>
        <w:t>About news and community content</w:t>
      </w:r>
    </w:p>
    <w:p>
      <w:pPr>
        <w:pStyle w:val="Heading2"/>
      </w:pPr>
      <w:r>
        <w:t>News</w:t>
      </w:r>
    </w:p>
    <w:p>
      <w:r>
        <w:t>Follow the development of PRAPJ, including editorial appointments, publication plans and opportunities for research-practice exchange. News items will identify their publication date and link to the relevant information or call.</w:t>
      </w:r>
    </w:p>
    <w:p>
      <w:r>
        <w:t>Suggested initial news item: Introducing the PRAPJ journal concept. PRAPJ is developing a publication model that combines research, documented practice and accessible evidence briefs. Its focus is on the quality of evidence, the practical decisions it informs and the professional questions that can shape future research. Details of the pilot and contribution opportunities will be announced as arrangements are confirmed.</w:t>
      </w:r>
    </w:p>
    <w:p>
      <w:pPr>
        <w:pStyle w:val="Heading2"/>
      </w:pPr>
      <w:r>
        <w:t>Announcements</w:t>
      </w:r>
    </w:p>
    <w:p>
      <w:r>
        <w:t>Official announcements will communicate approved changes to journal policies, submission arrangements and publication schedules. Each announcement will state what has changed, when the change takes effect and which contributors or submissions are affected. Information on recognition or indexing will be published only after confirmation by the relevant organisation.</w:t>
      </w:r>
    </w:p>
    <w:p>
      <w:pPr>
        <w:pStyle w:val="Heading2"/>
      </w:pPr>
      <w:r>
        <w:t>Videos</w:t>
      </w:r>
    </w:p>
    <w:p>
      <w:r>
        <w:t>PRAPJ is exploring optional video interviews, presentations and short explanations alongside written contributions. Availability depends on approved editorial and production capacity. Each item would identify its speakers, sources, related article, version and actual review status, retain limitations, and provide captions and a transcript for spoken video. Contributor approval and rights clearance are required; source corrections must remain linked.</w:t>
      </w:r>
    </w:p>
    <w:p>
      <w:pPr>
        <w:pStyle w:val="Heading2"/>
      </w:pPr>
      <w:r>
        <w:t>Awards</w:t>
      </w:r>
    </w:p>
    <w:p>
      <w:r>
        <w:t>Information on any future PRAPJ awards will be announced after the award categories, eligibility, assessment criteria and selection process have been approved. Recognition should reflect demonstrable contribution, with declared conflicts and independent assessment. There are no award recipients to announce in this content proposal.</w:t>
      </w:r>
    </w:p>
    <w:p>
      <w:pPr>
        <w:pStyle w:val="Heading2"/>
      </w:pPr>
      <w:r>
        <w:t>Author testimonials</w:t>
      </w:r>
    </w:p>
    <w:p>
      <w:r>
        <w:t>Author experiences will be shared when contributors have completed the publishing process and agreed to publication of their comments. Testimonials will identify the contributor, relevant article and date where permission allows. Statements will reflect the contributor’s experience and will not promise an equivalent outcome for other authors.</w:t>
      </w:r>
    </w:p>
    <w:p>
      <w:pPr>
        <w:pStyle w:val="Heading2"/>
      </w:pPr>
      <w:r>
        <w:t>Calls for papers and collections</w:t>
      </w:r>
    </w:p>
    <w:p>
      <w:r>
        <w:t>Formal calls will identify the purpose of the collection, topics, eligible contribution types, guest editors, submission dates and review arrangements. Special collections will remain subject to the journal’s ordinary integrity and editorial standards. A proposed collection should include a clear rationale, intended audience, contribution pipeline, reviewer capacity and conflict-management arrangements.</w:t>
      </w:r>
    </w:p>
    <w:p>
      <w:r>
        <w:t>A collection of new submissions should be distinguished from a thematic selection of previously published articles. Invitation, conference participation or an award will not guarantee acceptance.</w:t>
      </w:r>
    </w:p>
    <w:p>
      <w:pPr>
        <w:pStyle w:val="Heading1"/>
      </w:pPr>
      <w:r>
        <w:t>About the Research Summary Series</w:t>
      </w:r>
    </w:p>
    <w:p>
      <w:pPr>
        <w:pStyle w:val="Heading2"/>
      </w:pPr>
      <w:r>
        <w:t>Research evidence for practical decisions</w:t>
      </w:r>
    </w:p>
    <w:p>
      <w:r>
        <w:t>PRAPJ’s proposed Research Summary Series will help project professionals understand the practical meaning of research. Its principal format is the Research-to-Practice Brief: a structured interpretation of identifiable evidence that explains the decision context, findings, possible actions and limits of application.</w:t>
      </w:r>
    </w:p>
    <w:p>
      <w:r>
        <w:t>Each brief will link to its source and make clear whether it interprets one study or synthesises several sources. Readers should be able to distinguish source findings from editorial interpretation and suggested action. Briefs will not claim new research results unless these have been evaluated through the appropriate research publication route.</w:t>
      </w:r>
    </w:p>
    <w:p>
      <w:pPr>
        <w:pStyle w:val="Heading2"/>
      </w:pPr>
      <w:r>
        <w:t>What readers will find</w:t>
      </w:r>
    </w:p>
    <w:p>
      <w:pPr>
        <w:pStyle w:val="ListBullet"/>
      </w:pPr>
      <w:r>
        <w:t>The project decision or problem addressed by the evidence.</w:t>
      </w:r>
    </w:p>
    <w:p>
      <w:pPr>
        <w:pStyle w:val="ListBullet"/>
      </w:pPr>
      <w:r>
        <w:t>The study setting, approach and principal findings in accessible language.</w:t>
      </w:r>
    </w:p>
    <w:p>
      <w:pPr>
        <w:pStyle w:val="ListBullet"/>
      </w:pPr>
      <w:r>
        <w:t>What the evidence may change in professional judgement or practice.</w:t>
      </w:r>
    </w:p>
    <w:p>
      <w:pPr>
        <w:pStyle w:val="ListBullet"/>
      </w:pPr>
      <w:r>
        <w:t>Conditions, prerequisites and limitations that affect application.</w:t>
      </w:r>
    </w:p>
    <w:p>
      <w:pPr>
        <w:pStyle w:val="ListBullet"/>
      </w:pPr>
      <w:r>
        <w:t>Focused questions or actions supported by the evidence.</w:t>
      </w:r>
    </w:p>
    <w:p>
      <w:pPr>
        <w:pStyle w:val="ListBullet"/>
      </w:pPr>
      <w:r>
        <w:t>A citation and persistent link to the underlying research, where available.</w:t>
      </w:r>
    </w:p>
    <w:p>
      <w:pPr>
        <w:pStyle w:val="Heading2"/>
      </w:pPr>
      <w:r>
        <w:t>Selection and preparation</w:t>
      </w:r>
    </w:p>
    <w:p>
      <w:r>
        <w:t>The proposed series will prioritise evidence relevant to identifiable professional decisions. Selection will consider the strength of the source, the importance of the problem and the ability to explain practical meaning without overstating the findings.</w:t>
      </w:r>
    </w:p>
    <w:p>
      <w:r>
        <w:t>Under the proposed author model, accepted Research Articles, including evidence reviews, will support a linked brief of 1,200–2,000 words. Authors will prepare the first version with editorial guidance; the translation editor will review fidelity, clarity and applicability. The source article may proceed to publication once ready while a brief completes its separate editorial checks. The two items will be linked when both are available.</w:t>
      </w:r>
    </w:p>
    <w:p>
      <w:r>
        <w:t>A brief based on research published elsewhere may be considered when the source is sufficiently accessible for assessment and all reuse rights are respected. It must cite the original study, avoid reproducing protected material without permission, and describe the source’s publication and review status.</w:t>
      </w:r>
    </w:p>
    <w:p>
      <w:pPr>
        <w:pStyle w:val="Heading2"/>
      </w:pPr>
      <w:r>
        <w:t>Quality and review status</w:t>
      </w:r>
    </w:p>
    <w:p>
      <w:r>
        <w:t>Research-to-Practice Briefs will receive editorial translation review. This checks traceability, accuracy, decision relevance, uncertainty, transfer conditions, accessibility and commercial neutrality. The brief’s review label will distinguish this process from independent peer review of a Research Article.</w:t>
      </w:r>
    </w:p>
    <w:p>
      <w:pPr>
        <w:pStyle w:val="Heading2"/>
      </w:pPr>
      <w:r>
        <w:t>Series launch</w:t>
      </w:r>
    </w:p>
    <w:p>
      <w:r>
        <w:t>The series will open with approved content following confirmation of the journal’s editorial and publishing arrangements. Every item will identify its authors or credited contributors, date, source research and version. Related videos or interviews may supplement a brief when permissions and editorial checks are complete.</w:t>
      </w:r>
    </w:p>
    <w:p>
      <w:pPr>
        <w:pStyle w:val="Heading1"/>
      </w:pPr>
      <w:r>
        <w:t>Publish with PRAPJ</w:t>
      </w:r>
    </w:p>
    <w:p>
      <w:pPr>
        <w:pStyle w:val="Heading2"/>
      </w:pPr>
      <w:r>
        <w:t>Find the right contribution format</w:t>
      </w:r>
    </w:p>
    <w:p>
      <w:r>
        <w:t>PRAPJ’s proposed publication routes support original research, credible practice evidence and communication between these communities. Select the format that matches the evidence and purpose of your work. Explain both what readers can learn and the limits of that learning.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Contribution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Proposed length</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Principal requirement</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Research Article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6,000–9,000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Defensible contribution, transparent method and evidence, and practical implications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Evidence Review within the research track</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5,000–8,000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Transparent search, selection, appraisal and synthesis appropriate to the review design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Practitioner Case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3,000–5,000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Context, challenge, intervention, outcome evidence and limits of transfer</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Research-to-Practice Brief</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1,200–2,000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Traceable interpretation of source research for a practical decision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Practice Challenge or Evidence Note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1,500–2,500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Documented problem or focused evidence, with unresolved questions clearly identified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Invited Editorial or Debate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1,500–3,000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Evidence-informed argument with transparent status and declared interests</w:t>
            </w:r>
          </w:p>
        </w:tc>
      </w:tr>
    </w:tbl>
    <w:p>
      <w:pPr>
        <w:spacing w:after="0" w:line="80" w:before="0" w:lineRule="exact"/>
      </w:pPr>
      <w:r/>
      <w:r>
        <w:rPr>
          <w:sz w:val="6"/>
        </w:rPr>
      </w:r>
    </w:p>
    <w:p>
      <w:r>
        <w:t>The length calculation counts the main text, footnotes, table text, captions and appendices intended to appear with the article. It excludes the title page, abstract, keywords, decision-relevance statement, highlights, declarations, references and separately supplied supplementary files. Figures have no automatic word allowance. Essential methods and evidence must remain in the main article. Teaching cases are deferred in the proposed pilot taxonomy.</w:t>
      </w:r>
    </w:p>
    <w:p>
      <w:pPr>
        <w:pStyle w:val="Heading2"/>
      </w:pPr>
      <w:r>
        <w:t>Guide for Authors</w:t>
      </w:r>
    </w:p>
    <w:p>
      <w:r>
        <w:t>The separate PRAPJ Guide for Authors provides proposed requirements for article structure, authorship, declarations, research ethics, AI use, anonymisation, figures, data, references, submission and publication. It includes a submission checklist and reusable declaration and cover-letter prompts.</w:t>
      </w:r>
    </w:p>
    <w:p>
      <w:r>
        <w:t>Research Articles and evidence reviews use a 200–300-word abstract; other substantive formats use a 150–200-word summary. All core tracks include a 100–150-word decision-relevance statement and 4–7 keywords. These specifications form one proposed editorial standard across the website and author guide.</w:t>
      </w:r>
    </w:p>
    <w:p>
      <w:pPr>
        <w:pStyle w:val="Heading2"/>
      </w:pPr>
      <w:r>
        <w:t>Submit your article</w:t>
      </w:r>
    </w:p>
    <w:p>
      <w:r>
        <w:t>Submission opening date: to be announced. Submission portal: to be confirmed. Prospective authors should consult the approved Guide for Authors and the official submission page before sending files. Conference-derived work must disclose the earlier version and explain the substantive new contribution.</w:t>
      </w:r>
    </w:p>
    <w:p>
      <w:pPr>
        <w:pStyle w:val="Heading2"/>
      </w:pPr>
      <w:r>
        <w:t>Review and decisions</w:t>
      </w:r>
    </w:p>
    <w:p>
      <w:r>
        <w:t>Research and practice evidence are assessed through routes suited to their purpose. Editorial decisions consider contribution, evidence, integrity, clarity and fit. Invitations, positive pre-submission feedback and requests for revision do not constitute acceptance. The adopted review process and complaints route will be displayed before submissions open.</w:t>
      </w:r>
    </w:p>
    <w:p>
      <w:pPr>
        <w:pStyle w:val="Heading1"/>
      </w:pPr>
      <w:r>
        <w:t>Publish open access information</w:t>
      </w:r>
    </w:p>
    <w:p>
      <w:pPr>
        <w:pStyle w:val="Heading2"/>
      </w:pPr>
      <w:r>
        <w:t>Introduction</w:t>
      </w:r>
    </w:p>
    <w:p>
      <w:r>
        <w:t>PRAPJ’s preferred model is diamond open access: articles would be freely available to readers, with no submission or article publishing charge to authors. This model depends on sufficient institutional or sponsor support for editorial and publishing operations. The final access and fee policy will be published before submissions open.</w:t>
      </w:r>
    </w:p>
    <w:p>
      <w:r>
        <w:t>The proposed pilot is digital-first. Articles would be published as they become ready, with two curated issue collections each year. The launch date and operating arrangements remain to be confirmed.</w:t>
      </w:r>
    </w:p>
    <w:p>
      <w:pPr>
        <w:pStyle w:val="Heading2"/>
      </w:pPr>
      <w:r>
        <w:t>Open access licence and user rights</w:t>
      </w:r>
    </w:p>
    <w:p>
      <w:r>
        <w:t>CC BY 4.0 is the proposed publication licence, subject to publisher adoption and author agreement. It permits sharing and adaptation, including commercial use, with attribution, a licence link and identification of changes. Third-party material may carry separate terms, and privacy or other rights may still constrain reuse. No licence or publishing agreement is executed by this draft.</w:t>
      </w:r>
    </w:p>
    <w:p>
      <w:pPr>
        <w:pStyle w:val="Heading2"/>
      </w:pPr>
      <w:r>
        <w:t>Copyright and publishing agreement</w:t>
      </w:r>
    </w:p>
    <w:p>
      <w:r>
        <w:t>The proposed arrangement is for authors to retain copyright and grant the publisher the rights needed to publish, preserve and identify the version of record. This arrangement and the selected licence require confirmation in the author agreement. Authors must have the authority to grant the relevant rights, including any necessary agreement from their institution or other rights holders.</w:t>
      </w:r>
    </w:p>
    <w:p>
      <w:pPr>
        <w:pStyle w:val="Heading2"/>
      </w:pPr>
      <w:r>
        <w:t>Article publishing charges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Charge or service</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Proposed PRAPJ position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Submission fee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No fee under the preferred diamond model; adoption pending</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Article publishing charge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No APC under the preferred diamond model; adoption pending</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Reader access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No reader paywall under the preferred model</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Online colour or supplementary files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No separate mandatory charge proposed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Optional printing or external editing</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No service or price has been established</w:t>
            </w:r>
          </w:p>
        </w:tc>
      </w:tr>
    </w:tbl>
    <w:p>
      <w:pPr>
        <w:spacing w:after="0" w:line="80" w:before="0" w:lineRule="exact"/>
      </w:pPr>
      <w:r/>
      <w:r>
        <w:rPr>
          <w:sz w:val="6"/>
        </w:rPr>
      </w:r>
    </w:p>
    <w:p>
      <w:pPr>
        <w:pStyle w:val="Heading2"/>
      </w:pPr>
      <w:r>
        <w:t>Pricing transparency</w:t>
      </w:r>
    </w:p>
    <w:p>
      <w:r>
        <w:t>Any future charge must be stated clearly before an author makes a submission or orders an optional service. The journal will distinguish compulsory fees from optional services and state any relevant waiver arrangements. No fee, sponsorship or purchase will buy favourable editorial treatment. Authors should not send payment in response to an unverified request.</w:t>
      </w:r>
    </w:p>
    <w:p>
      <w:pPr>
        <w:pStyle w:val="Heading2"/>
      </w:pPr>
      <w:r>
        <w:t>Institutional agreements and funding</w:t>
      </w:r>
    </w:p>
    <w:p>
      <w:r>
        <w:t>Confirmed publishing support or agreements will be described with their scope and duration. No institutional eligibility, fee discount or funding arrangement should be inferred from an author’s affiliation until an agreement has been confirmed. Authors remain responsible for identifying any funder requirements concerning licences, repositories or reporting.</w:t>
      </w:r>
    </w:p>
    <w:p>
      <w:pPr>
        <w:pStyle w:val="Heading1"/>
      </w:pPr>
      <w:r>
        <w:t>Publish sharing and author support</w:t>
      </w:r>
    </w:p>
    <w:p>
      <w:pPr>
        <w:pStyle w:val="Heading2"/>
      </w:pPr>
      <w:r>
        <w:t>Self archiving</w:t>
      </w:r>
    </w:p>
    <w:p>
      <w:r>
        <w:t>Under the proposed immediate open-access model, the journal would impose no additional embargo on sharing an article published under its confirmed open licence. Authors should use the article’s citation and persistent link, identify the version shared and preserve licence and third-party credit information. Earlier manuscript versions should link to the final article when it becomes available.</w:t>
      </w:r>
    </w:p>
    <w:p>
      <w:r>
        <w:t>Preprints are distinct from accepted manuscripts and the version of record. The proposed policy permits preprints with disclosure at submission. A preprint must not be labelled as peer-reviewed journal publication. Copyright, consent and confidentiality obligations continue to apply to all versions.</w:t>
      </w:r>
    </w:p>
    <w:p>
      <w:pPr>
        <w:pStyle w:val="Heading2"/>
      </w:pPr>
      <w:r>
        <w:t>Responsible sharing</w:t>
      </w:r>
    </w:p>
    <w:p>
      <w:r>
        <w:t>Share a persistent article link where possible. Describe findings accurately and retain relevant limitations when preparing social posts, presentations, teaching materials or summaries. Permission to reuse an article does not imply endorsement of a product, service or interpretation by its authors or the journal.</w:t>
      </w:r>
    </w:p>
    <w:p>
      <w:r>
        <w:t>Authors preparing derivative briefs or educational materials should identify the source article, acknowledge adaptation and check the licence applicable to each component. Published corrections or retractions should remain visible through links to the current publication record.</w:t>
      </w:r>
    </w:p>
    <w:p>
      <w:pPr>
        <w:pStyle w:val="Heading2"/>
      </w:pPr>
      <w:r>
        <w:t>Author resources and support</w:t>
      </w:r>
    </w:p>
    <w:p>
      <w:r>
        <w:t>The PRAPJ Guide for Authors explains the proposed editorial requirements and includes practical preparation tools. Available resources should be labelled by version so that prospective authors can use a consistent set of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Resource</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Purpose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Guide for Authors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Scope, contribution formats, preparation rules and editorial policies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Submission checklist</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Final check of files, declarations, permissions and metadata</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Research-to-Practice Brief outline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Convert research findings into a traceable practical interpretation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Declaration prompts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Report funding, interests, ethics, data and material AI use accurately</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Revision response format</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Address reviewer and editor comments with traceable changes</w:t>
            </w:r>
          </w:p>
        </w:tc>
      </w:tr>
    </w:tbl>
    <w:p>
      <w:pPr>
        <w:spacing w:after="0" w:line="80" w:before="0" w:lineRule="exact"/>
      </w:pPr>
      <w:r/>
      <w:r>
        <w:rPr>
          <w:sz w:val="6"/>
        </w:rPr>
      </w:r>
    </w:p>
    <w:p>
      <w:pPr>
        <w:pStyle w:val="Heading2"/>
      </w:pPr>
      <w:r>
        <w:t>Language and accessibility</w:t>
      </w:r>
    </w:p>
    <w:p>
      <w:r>
        <w:t>Write in clear English and use one spelling convention consistently. Explain specialist terms and make the practical meaning of evidence easy to locate. Text, tables, figures and video should be accessible to readers using different devices or assistive technologies.</w:t>
      </w:r>
    </w:p>
    <w:p>
      <w:pPr>
        <w:keepLines/>
      </w:pPr>
      <w:r>
        <w:t>PRAPJ is exploring a supported contribution route in which an editor helps a practitioner develop an evidence-based account from a structured conversation. Scope and availability remain to be confirmed. Contributors would verify the account and approve submission; assistance would be credited and ordinary independent assessment retained. An interview or editing support would not guarantee publication. External editing remains the author's responsibility.</w:t>
      </w:r>
    </w:p>
    <w:p>
      <w:pPr>
        <w:pStyle w:val="Heading2"/>
      </w:pPr>
      <w:r>
        <w:t>Contact details and technical assistance</w:t>
      </w:r>
    </w:p>
    <w:p>
      <w:r>
        <w:t>Editorial enquiries, technical support and complaints contacts will be published once the responsible teams and channels are confirmed. The website will distinguish a submission enquiry from a formal appeal or integrity concern. No manuscript transfer service or external submission platform is implied by this proposal.</w:t>
      </w:r>
    </w:p>
    <w:p>
      <w:pPr>
        <w:pStyle w:val="Heading1"/>
      </w:pPr>
      <w:r>
        <w:t>Editorial source and release note</w:t>
      </w:r>
    </w:p>
    <w:p>
      <w:r>
        <w:t>This version incorporates the supplied PRAPJ draft and interviews through 8 October 2026, including James Bawtree's recommendations on experienced professional readers, supported contributions, context and media. Emerald and IJPM remain process benchmarks inspected on 25 September. Formal publication is intended; appointments, resources and adoption remain pending. No actual capstone budget is approved or allocated and no journal funding is committed. Keep this internal note off public pages.</w:t>
      </w:r>
    </w:p>
    <w:p>
      <w:hyperlink r:id="rId10">
        <w:r>
          <w:rPr>
            <w:color w:val="24556C"/>
            <w:u w:val="single"/>
          </w:rPr>
          <w:t>Emerald publishing process</w:t>
        </w:r>
      </w:hyperlink>
    </w:p>
    <w:p>
      <w:hyperlink r:id="rId11">
        <w:r>
          <w:rPr>
            <w:color w:val="24556C"/>
            <w:u w:val="single"/>
          </w:rPr>
          <w:t>Emerald peer review</w:t>
        </w:r>
      </w:hyperlink>
    </w:p>
    <w:p>
      <w:hyperlink r:id="rId12">
        <w:r>
          <w:rPr>
            <w:color w:val="24556C"/>
            <w:u w:val="single"/>
          </w:rPr>
          <w:t>Emerald publication ethics</w:t>
        </w:r>
      </w:hyperlink>
    </w:p>
    <w:p>
      <w:hyperlink r:id="rId13">
        <w:r>
          <w:rPr>
            <w:color w:val="24556C"/>
            <w:u w:val="single"/>
          </w:rPr>
          <w:t>IJPM Guide for Authors</w:t>
        </w:r>
      </w:hyperlink>
    </w:p>
    <w:p>
      <w:hyperlink r:id="rId14">
        <w:r>
          <w:rPr>
            <w:color w:val="24556C"/>
            <w:u w:val="single"/>
          </w:rPr>
          <w:t>Creative Commons Attribution 4.0</w:t>
        </w:r>
      </w:hyperlink>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About and Publish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merald.com/publish-with-us/pages/publish-in-journal" TargetMode="External"/><Relationship Id="rId11" Type="http://schemas.openxmlformats.org/officeDocument/2006/relationships/hyperlink" Target="https://www.emerald.com/peer-review" TargetMode="External"/><Relationship Id="rId12" Type="http://schemas.openxmlformats.org/officeDocument/2006/relationships/hyperlink" Target="https://www.emerald.com/publish-with-us/pages/publication-ethics" TargetMode="External"/><Relationship Id="rId13" Type="http://schemas.openxmlformats.org/officeDocument/2006/relationships/hyperlink" Target="https://www.sciencedirect.com/journal/international-journal-of-project-management/publish/guide-for-authors" TargetMode="External"/><Relationship Id="rId1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and Publish</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coreProperties>
</file>