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after="80"/>
      </w:pPr>
      <w:r>
        <w:rPr>
          <w:color w:val="000000"/>
        </w:rPr>
        <w:t>PRAPJ</w:t>
      </w:r>
    </w:p>
    <w:p>
      <w:pPr>
        <w:spacing w:after="640"/>
      </w:pPr>
      <w:r>
        <w:rPr>
          <w:rFonts w:ascii="Arial" w:hAnsi="Arial"/>
          <w:color w:val="000000"/>
          <w:sz w:val="34"/>
        </w:rPr>
        <w:t>Project Research and Practice Journal</w:t>
      </w:r>
    </w:p>
    <w:p>
      <w:pPr>
        <w:pStyle w:val="Heading2"/>
        <w:spacing w:after="220"/>
      </w:pPr>
      <w:r>
        <w:rPr>
          <w:color w:val="000000"/>
        </w:rPr>
        <w:t>Hardcopy journal design</w:t>
      </w:r>
    </w:p>
    <w:p>
      <w:pPr>
        <w:spacing w:before="60" w:after="200"/>
      </w:pPr>
      <w:r>
        <w:rPr>
          <w:rFonts w:ascii="Georgia" w:hAnsi="Georgia"/>
          <w:color w:val="000000"/>
          <w:sz w:val="56"/>
        </w:rPr>
        <w:t>Evidence for project decisions</w:t>
      </w:r>
    </w:p>
    <w:p>
      <w:pPr>
        <w:spacing w:after="460"/>
      </w:pPr>
      <w:r>
        <w:rPr>
          <w:rFonts w:ascii="Arial" w:hAnsi="Arial"/>
          <w:color w:val="000000"/>
          <w:sz w:val="18"/>
        </w:rPr>
        <w:t>Editable print specimen  |  8 October 2026</w:t>
      </w:r>
    </w:p>
    <w:p>
      <w:pPr>
        <w:spacing w:line="330" w:lineRule="exact" w:after="320"/>
      </w:pPr>
      <w:r>
        <w:rPr>
          <w:color w:val="000000"/>
          <w:sz w:val="24"/>
        </w:rPr>
        <w:t>PRAPJ is being developed for formal journal publication, bringing credible research and documented experience to professional project decisions. This eight-page Word specimen demonstrates the proposed reading experience through a cover, contents, editorial, case, brief and practice challenge.</w:t>
      </w:r>
    </w:p>
    <w:p>
      <w:pPr>
        <w:pStyle w:val="Heading2"/>
      </w:pPr>
      <w:r>
        <w:rPr>
          <w:color w:val="000000"/>
        </w:rPr>
        <w:t>In this specimen</w:t>
      </w:r>
    </w:p>
    <w:p>
      <w:pPr>
        <w:spacing w:after="140"/>
      </w:pPr>
      <w:r>
        <w:rPr>
          <w:color w:val="000000"/>
          <w:sz w:val="23"/>
        </w:rPr>
        <w:t>Designing evidence for professional decisions</w:t>
      </w:r>
    </w:p>
    <w:p>
      <w:pPr>
        <w:spacing w:after="140"/>
      </w:pPr>
      <w:r>
        <w:rPr>
          <w:color w:val="000000"/>
          <w:sz w:val="23"/>
        </w:rPr>
        <w:t>Recording uncertainty before a project gate</w:t>
      </w:r>
    </w:p>
    <w:p>
      <w:pPr>
        <w:spacing w:after="140"/>
      </w:pPr>
      <w:r>
        <w:rPr>
          <w:color w:val="000000"/>
          <w:sz w:val="23"/>
        </w:rPr>
        <w:t>Turning a source finding into a practical question</w:t>
      </w:r>
    </w:p>
    <w:p>
      <w:pPr>
        <w:spacing w:after="140"/>
      </w:pPr>
      <w:r>
        <w:rPr>
          <w:color w:val="000000"/>
          <w:sz w:val="23"/>
        </w:rPr>
        <w:t>When are lessons ready to transfer</w:t>
      </w:r>
    </w:p>
    <w:p>
      <w:pPr>
        <w:pStyle w:val="Heading2"/>
      </w:pPr>
      <w:r>
        <w:rPr>
          <w:color w:val="000000"/>
        </w:rPr>
        <w:t>Publication status</w:t>
      </w:r>
    </w:p>
    <w:p>
      <w:r>
        <w:rPr>
          <w:color w:val="000000"/>
        </w:rPr>
        <w:t>This is a design specimen, not a published issue. Submissions are closed. Publisher, appointments, launch date, identifiers, rights and preservation arrangements remain to be confirmed.</w:t>
      </w:r>
    </w:p>
    <w:p>
      <w:r>
        <w:rPr>
          <w:color w:val="000000"/>
        </w:rPr>
        <w:t>Original demonstration text prepared for Team DOMINUS. All case details are fictional, and no example has undergone journal review. No real project, research outcome, DOI, ISSN or publication metric is presented.</w:t>
      </w:r>
    </w:p>
    <w:p>
      <w:pPr>
        <w:pStyle w:val="Heading1"/>
        <w:pageBreakBefore/>
      </w:pPr>
      <w:r>
        <w:rPr>
          <w:color w:val="000000"/>
        </w:rPr>
        <w:t>Contents and publication information</w:t>
      </w:r>
    </w:p>
    <w:p>
      <w:pPr>
        <w:pStyle w:val="Heading2"/>
      </w:pPr>
      <w:r>
        <w:rPr>
          <w:color w:val="000000"/>
        </w:rPr>
        <w:t>Contents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5400"/>
        <w:gridCol w:w="3528"/>
      </w:tblGrid>
      <w:tr>
        <w:trPr>
          <w:cantSplit/>
          <w:tblHeader/>
          <w:tblHeader/>
        </w:trPr>
        <w:tc>
          <w:tcPr>
            <w:tcW w:type="dxa" w:w="864"/>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Page</w:t>
            </w:r>
          </w:p>
        </w:tc>
        <w:tc>
          <w:tcPr>
            <w:tcW w:type="dxa" w:w="5400"/>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Demonstration content</w:t>
            </w:r>
          </w:p>
        </w:tc>
        <w:tc>
          <w:tcPr>
            <w:tcW w:type="dxa" w:w="3528"/>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Status</w:t>
            </w:r>
          </w:p>
        </w:tc>
      </w:tr>
      <w:tr>
        <w:trPr>
          <w:cantSplit/>
        </w:trPr>
        <w:tc>
          <w:tcPr>
            <w:tcW w:type="dxa" w:w="86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3</w:t>
            </w:r>
          </w:p>
        </w:tc>
        <w:tc>
          <w:tcPr>
            <w:tcW w:type="dxa" w:w="5400"/>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Designing evidence for professional decisions</w:t>
            </w:r>
          </w:p>
        </w:tc>
        <w:tc>
          <w:tcPr>
            <w:tcW w:type="dxa" w:w="352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Concept editorial specimen</w:t>
            </w:r>
          </w:p>
        </w:tc>
      </w:tr>
      <w:tr>
        <w:trPr>
          <w:cantSplit/>
        </w:trPr>
        <w:tc>
          <w:tcPr>
            <w:tcW w:type="dxa" w:w="86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4</w:t>
            </w:r>
          </w:p>
        </w:tc>
        <w:tc>
          <w:tcPr>
            <w:tcW w:type="dxa" w:w="5400"/>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Recording uncertainty before a project gate</w:t>
            </w:r>
          </w:p>
        </w:tc>
        <w:tc>
          <w:tcPr>
            <w:tcW w:type="dxa" w:w="3528"/>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Fictional case opening</w:t>
            </w:r>
          </w:p>
        </w:tc>
      </w:tr>
      <w:tr>
        <w:trPr>
          <w:cantSplit/>
        </w:trPr>
        <w:tc>
          <w:tcPr>
            <w:tcW w:type="dxa" w:w="86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5</w:t>
            </w:r>
          </w:p>
        </w:tc>
        <w:tc>
          <w:tcPr>
            <w:tcW w:type="dxa" w:w="5400"/>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Case evidence and transfer conditions</w:t>
            </w:r>
          </w:p>
        </w:tc>
        <w:tc>
          <w:tcPr>
            <w:tcW w:type="dxa" w:w="352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Fictional case continuation</w:t>
            </w:r>
          </w:p>
        </w:tc>
      </w:tr>
      <w:tr>
        <w:trPr>
          <w:cantSplit/>
        </w:trPr>
        <w:tc>
          <w:tcPr>
            <w:tcW w:type="dxa" w:w="86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6</w:t>
            </w:r>
          </w:p>
        </w:tc>
        <w:tc>
          <w:tcPr>
            <w:tcW w:type="dxa" w:w="5400"/>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Turning a source finding into a practical question</w:t>
            </w:r>
          </w:p>
        </w:tc>
        <w:tc>
          <w:tcPr>
            <w:tcW w:type="dxa" w:w="3528"/>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Brief layout specimen</w:t>
            </w:r>
          </w:p>
        </w:tc>
      </w:tr>
      <w:tr>
        <w:trPr>
          <w:cantSplit/>
        </w:trPr>
        <w:tc>
          <w:tcPr>
            <w:tcW w:type="dxa" w:w="86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7</w:t>
            </w:r>
          </w:p>
        </w:tc>
        <w:tc>
          <w:tcPr>
            <w:tcW w:type="dxa" w:w="5400"/>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When are lessons ready to transfer</w:t>
            </w:r>
          </w:p>
        </w:tc>
        <w:tc>
          <w:tcPr>
            <w:tcW w:type="dxa" w:w="352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Practice challenge specimen</w:t>
            </w:r>
          </w:p>
        </w:tc>
      </w:tr>
      <w:tr>
        <w:trPr>
          <w:cantSplit/>
        </w:trPr>
        <w:tc>
          <w:tcPr>
            <w:tcW w:type="dxa" w:w="86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8</w:t>
            </w:r>
          </w:p>
        </w:tc>
        <w:tc>
          <w:tcPr>
            <w:tcW w:type="dxa" w:w="5400"/>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Preparing a contribution and print notes</w:t>
            </w:r>
          </w:p>
        </w:tc>
        <w:tc>
          <w:tcPr>
            <w:tcW w:type="dxa" w:w="3528"/>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Proposed journal information</w:t>
            </w:r>
          </w:p>
        </w:tc>
      </w:tr>
    </w:tbl>
    <w:p>
      <w:pPr>
        <w:spacing w:after="0" w:line="80" w:before="0" w:lineRule="exact"/>
      </w:pPr>
      <w:r>
        <w:rPr>
          <w:color w:val="000000"/>
        </w:rPr>
      </w:r>
      <w:r>
        <w:rPr>
          <w:color w:val="000000"/>
        </w:rPr>
      </w:r>
    </w:p>
    <w:p>
      <w:pPr>
        <w:pStyle w:val="Heading2"/>
      </w:pPr>
      <w:r>
        <w:rPr>
          <w:color w:val="000000"/>
        </w:rPr>
        <w:t>About PRAPJ</w:t>
      </w:r>
    </w:p>
    <w:p>
      <w:r>
        <w:rPr>
          <w:color w:val="000000"/>
        </w:rPr>
        <w:t>PRAPJ is intended for experienced and mid-career project professionals seeking credible evidence they can use, and for researchers who want to inform practice. Its four core tracks are Research Articles, Practitioner Cases, Research-to-Practice Briefs, and Practice Challenges or Evidence Notes. Selected explanations may also support students and emerging professionals.</w:t>
      </w:r>
    </w:p>
    <w:p>
      <w:pPr>
        <w:pStyle w:val="Heading2"/>
      </w:pPr>
      <w:r>
        <w:rPr>
          <w:color w:val="000000"/>
        </w:rPr>
        <w:t>Editorial and publication record</w:t>
      </w:r>
    </w:p>
    <w:p>
      <w:r>
        <w:rPr>
          <w:color w:val="000000"/>
        </w:rPr>
        <w:t>Editorial appointments: unconfirmed. Publisher and institutional host: unconfirmed. Public submission channel: not open. This specimen does not imply a partnership with a university, professional body or commercial publisher.</w:t>
      </w:r>
    </w:p>
    <w:p>
      <w:r>
        <w:rPr>
          <w:color w:val="000000"/>
        </w:rPr>
        <w:t>The preferred access model is diamond open access, subject to funding and adoption. Author copyright and a CC BY 4.0 publication licence are proposals requiring an approved agreement. They are not represented as executed contracts through this specimen.</w:t>
      </w:r>
    </w:p>
    <w:p>
      <w:pPr>
        <w:pStyle w:val="Heading2"/>
      </w:pPr>
      <w:r>
        <w:rPr>
          <w:color w:val="000000"/>
        </w:rPr>
        <w:t>How to read the examples</w:t>
      </w:r>
    </w:p>
    <w:p>
      <w:r>
        <w:rPr>
          <w:color w:val="000000"/>
        </w:rPr>
        <w:t>The examples are deliberately short layout excerpts. They do not meet full submission word lengths and have not undergone journal review. Their labels show the kind of status information a real issue must communicate. The fictional case demonstrates separation of a record, an interpretation and a proposed action; it supplies no empirical evidence for the business case.</w:t>
      </w:r>
    </w:p>
    <w:p>
      <w:r>
        <w:rPr>
          <w:color w:val="000000"/>
        </w:rPr>
        <w:t>A future digital publication would link each accepted item to its full text, evidence, review label, version and corrections. Optional videos and short explanations are being explored as companions to written contributions. The offline digital mockup illustrates that concept without a recording, live publication or submission service.</w:t>
      </w:r>
    </w:p>
    <w:p>
      <w:pPr>
        <w:pStyle w:val="Heading1"/>
        <w:pageBreakBefore/>
      </w:pPr>
      <w:r>
        <w:rPr>
          <w:color w:val="000000"/>
        </w:rPr>
        <w:t>Designing evidence for professional decisions</w:t>
      </w:r>
    </w:p>
    <w:p>
      <w:pPr>
        <w:spacing w:after="180"/>
      </w:pPr>
      <w:r>
        <w:rPr>
          <w:rFonts w:ascii="Arial" w:hAnsi="Arial"/>
          <w:color w:val="4F5C62"/>
          <w:sz w:val="17"/>
        </w:rPr>
        <w:t>Concept editorial specimen | Original demonstration text | Not peer reviewed</w:t>
      </w:r>
    </w:p>
    <w:p>
      <w:pPr>
        <w:pStyle w:val="Heading2"/>
      </w:pPr>
      <w:r>
        <w:rPr>
          <w:color w:val="000000"/>
        </w:rPr>
        <w:t>The decision comes first</w:t>
      </w:r>
    </w:p>
    <w:p>
      <w:r>
        <w:rPr>
          <w:color w:val="000000"/>
        </w:rPr>
        <w:t>A professional may approach research with an objective already in view: securing the right skills, managing dependencies, improving governance or testing whether a business case is deliverable. A contribution becomes easier to use when it identifies the decision early and explains what its evidence can contribute.</w:t>
      </w:r>
    </w:p>
    <w:p>
      <w:r>
        <w:rPr>
          <w:color w:val="000000"/>
        </w:rPr>
        <w:t>Practical meaning depends on context. Readers need to know the objective, alternatives, constraints and limits of a comparison. A lesson from another sector may still be relevant when the objective is comparable; a shared industry label alone does not establish that it will transfer.</w:t>
      </w:r>
    </w:p>
    <w:p>
      <w:pPr>
        <w:pStyle w:val="Heading2"/>
      </w:pPr>
      <w:r>
        <w:rPr>
          <w:color w:val="000000"/>
        </w:rPr>
        <w:t>Practice can also define the question</w:t>
      </w:r>
    </w:p>
    <w:p>
      <w:r>
        <w:rPr>
          <w:color w:val="000000"/>
        </w:rPr>
        <w:t>Practitioner experience can reveal where guidance is difficult to apply. A useful account compares relevant sources, such as project records, schedule evidence and participant perspectives, and explains discrepancies. It states the author's involvement and includes inconvenient outcomes rather than smoothing them away.</w:t>
      </w:r>
    </w:p>
    <w:p>
      <w:r>
        <w:rPr>
          <w:color w:val="000000"/>
        </w:rPr>
        <w:t>The proposed PRAPJ model therefore gives different contributions different routes. Research requires scholarly assessment. Cases require scrutiny of evidence and context. Briefs require careful comparison with source research. Challenges require enough documented substance for another reader to understand and investigate the question.</w:t>
      </w:r>
    </w:p>
    <w:p>
      <w:pPr>
        <w:pStyle w:val="Heading2"/>
      </w:pPr>
      <w:r>
        <w:rPr>
          <w:color w:val="000000"/>
        </w:rPr>
        <w:t>A visible boundary around each claim</w:t>
      </w:r>
    </w:p>
    <w:p>
      <w:r>
        <w:rPr>
          <w:color w:val="000000"/>
        </w:rPr>
        <w:t>Consider a team that introduces a short uncertainty record at an approval gate. A later improvement in documentation would not, by itself, establish better project outcomes. A case should identify what changed in the records, what else happened during the period, and what was not measured. Readers can then judge whether the practice is worth testing in their own setting.</w:t>
      </w:r>
    </w:p>
    <w:p>
      <w:r>
        <w:rPr>
          <w:color w:val="000000"/>
        </w:rPr>
        <w:t>The next pages use an entirely fictional example to show this separation. Its purpose is to demonstrate presentation, not to prove that uncertainty records work. Real publication would require evidence, permissions and the review route appropriate to the claims.</w:t>
      </w:r>
    </w:p>
    <w:p>
      <w:pPr>
        <w:pStyle w:val="Heading2"/>
      </w:pPr>
      <w:r>
        <w:rPr>
          <w:color w:val="000000"/>
        </w:rPr>
        <w:t>A proposal for the journal</w:t>
      </w:r>
    </w:p>
    <w:p>
      <w:r>
        <w:rPr>
          <w:color w:val="000000"/>
        </w:rPr>
        <w:t>Make the objective, evidence and principal limitation easy to locate. Explore supported conversations that help practitioners develop permission-ready written accounts, and short media companions that lead back to the source. Preserve the same standards for authorship, evidence and review across these routes.</w:t>
      </w:r>
    </w:p>
    <w:p>
      <w:r>
        <w:rPr>
          <w:color w:val="000000"/>
        </w:rPr>
        <w:t>These are proposed design choices, not promised services or tested outcomes. Judge a future pilot through reader understanding, usefulness and return use as well as publication activity. This editorial specimen asserts no empirical results.</w:t>
      </w:r>
    </w:p>
    <w:p>
      <w:pPr>
        <w:pStyle w:val="Heading1"/>
        <w:pageBreakBefore/>
      </w:pPr>
      <w:r>
        <w:rPr>
          <w:color w:val="000000"/>
        </w:rPr>
        <w:t>Recording uncertainty before a project gate</w:t>
      </w:r>
    </w:p>
    <w:p>
      <w:pPr>
        <w:spacing w:after="180"/>
      </w:pPr>
      <w:r>
        <w:rPr>
          <w:rFonts w:ascii="Arial" w:hAnsi="Arial"/>
          <w:color w:val="4F5C62"/>
          <w:sz w:val="17"/>
        </w:rPr>
        <w:t>Practitioner Case layout excerpt | Fictional example | Not reviewed</w:t>
      </w:r>
    </w:p>
    <w:p>
      <w:pPr>
        <w:spacing w:after="180"/>
      </w:pPr>
      <w:r>
        <w:rPr>
          <w:rFonts w:ascii="Arial" w:hAnsi="Arial"/>
          <w:color w:val="4F5C62"/>
          <w:sz w:val="17"/>
        </w:rPr>
        <w:t>Author line: PRAPJ design specimen. No real project, organisation or participant is described.</w:t>
      </w:r>
    </w:p>
    <w:p>
      <w:pPr>
        <w:pStyle w:val="Heading2"/>
      </w:pPr>
      <w:r>
        <w:rPr>
          <w:color w:val="000000"/>
        </w:rPr>
        <w:t>Summary</w:t>
      </w:r>
    </w:p>
    <w:p>
      <w:r>
        <w:rPr>
          <w:color w:val="000000"/>
        </w:rPr>
        <w:t>This fictional account illustrates how a practitioner case could document a change to project decision records. A team proposes a short uncertainty record for a stage gate. The specimen identifies the context, intended mechanism, evidence that would be needed and limits of interpretation. It reports no real intervention or measured result.</w:t>
      </w:r>
    </w:p>
    <w:p>
      <w:pPr>
        <w:pStyle w:val="Heading2"/>
      </w:pPr>
      <w:r>
        <w:rPr>
          <w:color w:val="000000"/>
        </w:rPr>
        <w:t>Decision relevance</w:t>
      </w:r>
    </w:p>
    <w:p>
      <w:r>
        <w:rPr>
          <w:color w:val="000000"/>
        </w:rPr>
        <w:t>The example is aimed at a project sponsor considering whether a gate record should make assumptions and missing evidence more visible. Its practical value is a structure for asking what should be documented and checked. The example provides no basis for claiming that the proposed record would improve cost, schedule or benefits outcomes.</w:t>
      </w:r>
    </w:p>
    <w:p>
      <w:pPr>
        <w:pStyle w:val="Heading2"/>
      </w:pPr>
      <w:r>
        <w:rPr>
          <w:color w:val="000000"/>
        </w:rPr>
        <w:t>Context and challenge</w:t>
      </w:r>
    </w:p>
    <w:p>
      <w:r>
        <w:rPr>
          <w:color w:val="000000"/>
        </w:rPr>
        <w:t>Assume a project is approaching a decision about its next delivery stage. Its objective is to make the approval decision with a clearer understanding of uncertainty. The recommendation, schedule and working files may tell different parts of the story; several estimates lack an explicit, shared record of their assumptions.</w:t>
      </w:r>
    </w:p>
    <w:p>
      <w:pPr>
        <w:pStyle w:val="Heading2"/>
      </w:pPr>
      <w:r>
        <w:rPr>
          <w:color w:val="000000"/>
        </w:rPr>
        <w:t>Proposed response</w:t>
      </w:r>
    </w:p>
    <w:p>
      <w:r>
        <w:rPr>
          <w:color w:val="000000"/>
        </w:rPr>
        <w:t>The fictional team adds a one-page uncertainty record to the gate pack. It identifies the decision, relevant assumptions, evidence available, unresolved questions and an owner and date for each follow-up. The record would accompany, rather than replace, existing governance controls.</w:t>
      </w:r>
    </w:p>
    <w:p>
      <w:pPr>
        <w:pStyle w:val="Heading2"/>
      </w:pPr>
      <w:r>
        <w:rPr>
          <w:color w:val="000000"/>
        </w:rPr>
        <w:t>Evidence required for a real case</w:t>
      </w:r>
    </w:p>
    <w:p>
      <w:r>
        <w:rPr>
          <w:color w:val="000000"/>
        </w:rPr>
        <w:t>A real case would compare gate records, schedule evidence and consented participant accounts, identify discrepancies and explain how they were investigated. It would state the observation period, assessment method, author role and concurrent changes. Non-public records require appropriate permission; removing names alone does not authorise disclosure.</w:t>
      </w:r>
    </w:p>
    <w:p>
      <w:pPr>
        <w:pStyle w:val="Heading2"/>
      </w:pPr>
      <w:r>
        <w:rPr>
          <w:color w:val="000000"/>
        </w:rPr>
        <w:t>What the next page demonstrates</w:t>
      </w:r>
    </w:p>
    <w:p>
      <w:r>
        <w:rPr>
          <w:color w:val="000000"/>
        </w:rPr>
        <w:t>The evidence table on page 5 contains illustrative entries describing evidence categories. It avoids fabricated measurement results. A real author would replace these entries with traceable records, actual observations, limitations and permitted supporting material.</w:t>
      </w:r>
    </w:p>
    <w:p>
      <w:pPr>
        <w:pStyle w:val="Heading1"/>
        <w:pageBreakBefore/>
      </w:pPr>
      <w:r>
        <w:rPr>
          <w:color w:val="000000"/>
        </w:rPr>
        <w:t>Case evidence and transfer conditions</w:t>
      </w:r>
    </w:p>
    <w:p>
      <w:pPr>
        <w:spacing w:after="180"/>
      </w:pPr>
      <w:r>
        <w:rPr>
          <w:rFonts w:ascii="Arial" w:hAnsi="Arial"/>
          <w:color w:val="4F5C62"/>
          <w:sz w:val="17"/>
        </w:rPr>
        <w:t>Continuation of the fictional case | Illustrative evidence structure only</w:t>
      </w:r>
    </w:p>
    <w:p>
      <w:pPr>
        <w:pStyle w:val="Heading2"/>
      </w:pPr>
      <w:r>
        <w:rPr>
          <w:color w:val="000000"/>
        </w:rPr>
        <w:t>A record of claims and limits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773"/>
        <w:gridCol w:w="3686"/>
      </w:tblGrid>
      <w:tr>
        <w:trPr>
          <w:cantSplit/>
          <w:tblHeader/>
          <w:tblHeader/>
        </w:trPr>
        <w:tc>
          <w:tcPr>
            <w:tcW w:type="dxa" w:w="2333"/>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Question</w:t>
            </w:r>
          </w:p>
        </w:tc>
        <w:tc>
          <w:tcPr>
            <w:tcW w:type="dxa" w:w="3773"/>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Evidence a real case would need</w:t>
            </w:r>
          </w:p>
        </w:tc>
        <w:tc>
          <w:tcPr>
            <w:tcW w:type="dxa" w:w="3686"/>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What cannot be inferred from it alone</w:t>
            </w:r>
          </w:p>
        </w:tc>
      </w:tr>
      <w:tr>
        <w:trPr>
          <w:cantSplit/>
        </w:trPr>
        <w:tc>
          <w:tcPr>
            <w:tcW w:type="dxa" w:w="2333"/>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Were assumptions easier to locate?</w:t>
            </w:r>
          </w:p>
        </w:tc>
        <w:tc>
          <w:tcPr>
            <w:tcW w:type="dxa" w:w="3773"/>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Defined checklist applied to gate packs, dates and assessor notes</w:t>
            </w:r>
          </w:p>
        </w:tc>
        <w:tc>
          <w:tcPr>
            <w:tcW w:type="dxa" w:w="3686"/>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Better ultimate project performance</w:t>
            </w:r>
          </w:p>
        </w:tc>
      </w:tr>
      <w:tr>
        <w:trPr>
          <w:cantSplit/>
        </w:trPr>
        <w:tc>
          <w:tcPr>
            <w:tcW w:type="dxa" w:w="2333"/>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Were unresolved questions followed up?</w:t>
            </w:r>
          </w:p>
        </w:tc>
        <w:tc>
          <w:tcPr>
            <w:tcW w:type="dxa" w:w="3773"/>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Action log, ownership, closure evidence and elapsed time</w:t>
            </w:r>
          </w:p>
        </w:tc>
        <w:tc>
          <w:tcPr>
            <w:tcW w:type="dxa" w:w="3686"/>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That the new form caused follow-up</w:t>
            </w:r>
          </w:p>
        </w:tc>
      </w:tr>
      <w:tr>
        <w:trPr>
          <w:cantSplit/>
        </w:trPr>
        <w:tc>
          <w:tcPr>
            <w:tcW w:type="dxa" w:w="2333"/>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Did decision participants understand uncertainty?</w:t>
            </w:r>
          </w:p>
        </w:tc>
        <w:tc>
          <w:tcPr>
            <w:tcW w:type="dxa" w:w="3773"/>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Consented feedback using a stated protocol</w:t>
            </w:r>
          </w:p>
        </w:tc>
        <w:tc>
          <w:tcPr>
            <w:tcW w:type="dxa" w:w="3686"/>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Understanding across other teams or sectors</w:t>
            </w:r>
          </w:p>
        </w:tc>
      </w:tr>
      <w:tr>
        <w:trPr>
          <w:cantSplit/>
        </w:trPr>
        <w:tc>
          <w:tcPr>
            <w:tcW w:type="dxa" w:w="2333"/>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Did the process add effort?</w:t>
            </w:r>
          </w:p>
        </w:tc>
        <w:tc>
          <w:tcPr>
            <w:tcW w:type="dxa" w:w="3773"/>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Time records and participant accounts</w:t>
            </w:r>
          </w:p>
        </w:tc>
        <w:tc>
          <w:tcPr>
            <w:tcW w:type="dxa" w:w="3686"/>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Net value without considering benefits and opportunity cost</w:t>
            </w:r>
          </w:p>
        </w:tc>
      </w:tr>
      <w:tr>
        <w:trPr/>
        <w:tc>
          <w:tcPr>
            <w:tcW w:type="dxa" w:w="2333"/>
            <w:vAlign w:val="cente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before="0" w:after="20" w:line="240" w:lineRule="exact"/>
            </w:pPr>
            <w:r>
              <w:rPr>
                <w:rFonts w:ascii="Arial" w:hAnsi="Arial"/>
                <w:b w:val="0"/>
                <w:color w:val="000000"/>
                <w:sz w:val="18"/>
              </w:rPr>
              <w:t>Where do accounts disagree?</w:t>
            </w:r>
          </w:p>
        </w:tc>
        <w:tc>
          <w:tcPr>
            <w:tcW w:type="dxa" w:w="3773"/>
            <w:vAlign w:val="cente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before="0" w:after="20" w:line="240" w:lineRule="exact"/>
            </w:pPr>
            <w:r>
              <w:rPr>
                <w:rFonts w:ascii="Arial" w:hAnsi="Arial"/>
                <w:b w:val="0"/>
                <w:color w:val="000000"/>
                <w:sz w:val="18"/>
              </w:rPr>
              <w:t>Compare status reports, schedule records and consented participant accounts</w:t>
            </w:r>
          </w:p>
        </w:tc>
        <w:tc>
          <w:tcPr>
            <w:tcW w:type="dxa" w:w="3686"/>
            <w:vAlign w:val="cente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before="0" w:after="20" w:line="240" w:lineRule="exact"/>
            </w:pPr>
            <w:r>
              <w:rPr>
                <w:rFonts w:ascii="Arial" w:hAnsi="Arial"/>
                <w:b w:val="0"/>
                <w:color w:val="000000"/>
                <w:sz w:val="18"/>
              </w:rPr>
              <w:t>That one source alone gives a complete account</w:t>
            </w:r>
          </w:p>
        </w:tc>
      </w:tr>
    </w:tbl>
    <w:p>
      <w:pPr>
        <w:spacing w:after="0" w:line="80" w:before="0" w:lineRule="exact"/>
      </w:pPr>
      <w:r>
        <w:rPr>
          <w:color w:val="000000"/>
        </w:rPr>
      </w:r>
      <w:r>
        <w:rPr>
          <w:color w:val="000000"/>
        </w:rPr>
      </w:r>
    </w:p>
    <w:p>
      <w:r>
        <w:rPr>
          <w:color w:val="000000"/>
        </w:rPr>
        <w:t>No counts, percentages or outcomes in this table represent observations. It specifies evidence to collect if the example were tested.</w:t>
      </w:r>
    </w:p>
    <w:p>
      <w:pPr>
        <w:pStyle w:val="Heading2"/>
      </w:pPr>
      <w:r>
        <w:rPr>
          <w:color w:val="000000"/>
        </w:rPr>
        <w:t>Alternative explanations</w:t>
      </w:r>
    </w:p>
    <w:p>
      <w:r>
        <w:rPr>
          <w:color w:val="000000"/>
        </w:rPr>
        <w:t>Improved documentation could follow stronger sponsor attention, a different gate chair or additional time before approval. A real case should identify these influences and avoid assigning all change to the record. An absence of improvement may reflect poor use of the form or a problem that the form does not address.</w:t>
      </w:r>
    </w:p>
    <w:p>
      <w:pPr>
        <w:pStyle w:val="Heading2"/>
      </w:pPr>
      <w:r>
        <w:rPr>
          <w:color w:val="000000"/>
        </w:rPr>
        <w:t>Conditions for trying the approach</w:t>
      </w:r>
    </w:p>
    <w:p>
      <w:r>
        <w:rPr>
          <w:color w:val="000000"/>
        </w:rPr>
        <w:t>A project would need a comparable decision objective, a clear owner, agreement on which uncertainties matter and a way to maintain the record after the gate. The format must fit its governance and evidence sensitivity. It may add little value where assumptions are already explicit and regularly reviewed.</w:t>
      </w:r>
    </w:p>
    <w:p>
      <w:pPr>
        <w:pStyle w:val="Heading2"/>
      </w:pPr>
      <w:r>
        <w:rPr>
          <w:color w:val="000000"/>
        </w:rPr>
        <w:t>Proportionate next step</w:t>
      </w:r>
    </w:p>
    <w:p>
      <w:r>
        <w:rPr>
          <w:color w:val="000000"/>
        </w:rPr>
        <w:t>A practitioner could test whether readers can identify the key assumptions in an existing gate pack, then decide whether a small documentation change is warranted. Any test should define the observation method, protect confidential material and examine the effort involved. A positive response would still not prove improved delivery outcomes.</w:t>
      </w:r>
    </w:p>
    <w:p>
      <w:pPr>
        <w:pStyle w:val="Heading2"/>
      </w:pPr>
      <w:r>
        <w:rPr>
          <w:color w:val="000000"/>
        </w:rPr>
        <w:t>Declarations for this specimen</w:t>
      </w:r>
    </w:p>
    <w:p>
      <w:r>
        <w:rPr>
          <w:color w:val="000000"/>
        </w:rPr>
        <w:t>Data: no project data were collected or analysed. Permissions: no third-party project records or participant quotations are reproduced. Interests: this is a capstone design example. AI assistance: drafting and layout assistance were used in preparing the demonstration; the example must not be cited as research evidence.</w:t>
      </w:r>
    </w:p>
    <w:p>
      <w:pPr>
        <w:pStyle w:val="Heading1"/>
        <w:pageBreakBefore/>
      </w:pPr>
      <w:r>
        <w:rPr>
          <w:color w:val="000000"/>
        </w:rPr>
        <w:t>Turning a source finding into a practical question</w:t>
      </w:r>
    </w:p>
    <w:p>
      <w:pPr>
        <w:spacing w:after="180"/>
      </w:pPr>
      <w:r>
        <w:rPr>
          <w:rFonts w:ascii="Arial" w:hAnsi="Arial"/>
          <w:color w:val="4F5C62"/>
          <w:sz w:val="17"/>
        </w:rPr>
        <w:t>Research to Practice Brief layout excerpt | No source study supplied | Not reviewed</w:t>
      </w:r>
    </w:p>
    <w:p>
      <w:pPr>
        <w:pStyle w:val="Heading2"/>
      </w:pPr>
      <w:r>
        <w:rPr>
          <w:color w:val="000000"/>
        </w:rPr>
        <w:t>The decision</w:t>
      </w:r>
    </w:p>
    <w:p>
      <w:r>
        <w:rPr>
          <w:color w:val="000000"/>
        </w:rPr>
        <w:t>[In a real brief, state the professional decision and intended reader in plain language.]</w:t>
      </w:r>
    </w:p>
    <w:p>
      <w:pPr>
        <w:pStyle w:val="Heading2"/>
      </w:pPr>
      <w:r>
        <w:rPr>
          <w:color w:val="000000"/>
        </w:rPr>
        <w:t>Source evidence</w:t>
      </w:r>
    </w:p>
    <w:p>
      <w:r>
        <w:rPr>
          <w:color w:val="000000"/>
        </w:rPr>
        <w:t>Source article: [Verified citation and persistent link]</w:t>
      </w:r>
    </w:p>
    <w:p>
      <w:r>
        <w:rPr>
          <w:color w:val="000000"/>
        </w:rPr>
        <w:t>Source review status and version: [Actual status]</w:t>
      </w:r>
    </w:p>
    <w:p>
      <w:r>
        <w:rPr>
          <w:color w:val="000000"/>
        </w:rPr>
        <w:t>Study setting, method and period: [Verified details]</w:t>
      </w:r>
    </w:p>
    <w:p>
      <w:r>
        <w:rPr>
          <w:color w:val="000000"/>
        </w:rPr>
        <w:t>This page is a layout specimen. It does not cite an invented study or present a factual research finding. A publishable brief would need traceable source evidence and editorial translation review.</w:t>
      </w:r>
    </w:p>
    <w:p>
      <w:pPr>
        <w:pStyle w:val="Heading2"/>
      </w:pPr>
      <w:r>
        <w:rPr>
          <w:color w:val="000000"/>
        </w:rPr>
        <w:t>From evidence to action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536"/>
        <w:gridCol w:w="3744"/>
      </w:tblGrid>
      <w:tr>
        <w:trPr>
          <w:cantSplit/>
          <w:tblHeader/>
          <w:tblHeader/>
        </w:trPr>
        <w:tc>
          <w:tcPr>
            <w:tcW w:type="dxa" w:w="1512"/>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Layer</w:t>
            </w:r>
          </w:p>
        </w:tc>
        <w:tc>
          <w:tcPr>
            <w:tcW w:type="dxa" w:w="4536"/>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What belongs here</w:t>
            </w:r>
          </w:p>
        </w:tc>
        <w:tc>
          <w:tcPr>
            <w:tcW w:type="dxa" w:w="3744"/>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Reader check</w:t>
            </w:r>
          </w:p>
        </w:tc>
      </w:tr>
      <w:tr>
        <w:trPr>
          <w:cantSplit/>
        </w:trPr>
        <w:tc>
          <w:tcPr>
            <w:tcW w:type="dxa" w:w="1512"/>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Source finding</w:t>
            </w:r>
          </w:p>
        </w:tc>
        <w:tc>
          <w:tcPr>
            <w:tcW w:type="dxa" w:w="4536"/>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the study actually established</w:t>
            </w:r>
          </w:p>
        </w:tc>
        <w:tc>
          <w:tcPr>
            <w:tcW w:type="dxa" w:w="374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Can I locate the claim in the source?</w:t>
            </w:r>
          </w:p>
        </w:tc>
      </w:tr>
      <w:tr>
        <w:trPr>
          <w:cantSplit/>
        </w:trPr>
        <w:tc>
          <w:tcPr>
            <w:tcW w:type="dxa" w:w="1512"/>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Interpretation</w:t>
            </w:r>
          </w:p>
        </w:tc>
        <w:tc>
          <w:tcPr>
            <w:tcW w:type="dxa" w:w="4536"/>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that finding may mean for this decision</w:t>
            </w:r>
          </w:p>
        </w:tc>
        <w:tc>
          <w:tcPr>
            <w:tcW w:type="dxa" w:w="374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Which assumptions connect the two?</w:t>
            </w:r>
          </w:p>
        </w:tc>
      </w:tr>
      <w:tr>
        <w:trPr>
          <w:cantSplit/>
        </w:trPr>
        <w:tc>
          <w:tcPr>
            <w:tcW w:type="dxa" w:w="1512"/>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Possible action</w:t>
            </w:r>
          </w:p>
        </w:tc>
        <w:tc>
          <w:tcPr>
            <w:tcW w:type="dxa" w:w="4536"/>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A proportionate step or question for practice</w:t>
            </w:r>
          </w:p>
        </w:tc>
        <w:tc>
          <w:tcPr>
            <w:tcW w:type="dxa" w:w="374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conditions and resources are required?</w:t>
            </w:r>
          </w:p>
        </w:tc>
      </w:tr>
      <w:tr>
        <w:trPr>
          <w:cantSplit/>
        </w:trPr>
        <w:tc>
          <w:tcPr>
            <w:tcW w:type="dxa" w:w="1512"/>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Boundary</w:t>
            </w:r>
          </w:p>
        </w:tc>
        <w:tc>
          <w:tcPr>
            <w:tcW w:type="dxa" w:w="4536"/>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remains uncertain or outside the study</w:t>
            </w:r>
          </w:p>
        </w:tc>
        <w:tc>
          <w:tcPr>
            <w:tcW w:type="dxa" w:w="374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Where might the advice fail?</w:t>
            </w:r>
          </w:p>
        </w:tc>
      </w:tr>
    </w:tbl>
    <w:p>
      <w:pPr>
        <w:spacing w:after="0" w:line="80" w:before="0" w:lineRule="exact"/>
      </w:pPr>
      <w:r>
        <w:rPr>
          <w:color w:val="000000"/>
        </w:rPr>
      </w:r>
      <w:r>
        <w:rPr>
          <w:color w:val="000000"/>
        </w:rPr>
      </w:r>
    </w:p>
    <w:p>
      <w:pPr>
        <w:pStyle w:val="Heading2"/>
      </w:pPr>
      <w:r>
        <w:rPr>
          <w:color w:val="000000"/>
        </w:rPr>
        <w:t>A useful limitation is specific</w:t>
      </w:r>
    </w:p>
    <w:p>
      <w:r>
        <w:rPr>
          <w:color w:val="000000"/>
        </w:rPr>
        <w:t>Avoid a generic sentence saying that further research is needed. Describe the setting, method or missing information that constrains the inference. If the evidence concerns one type of project, explain why applying it to another setting requires judgement or additional checking.</w:t>
      </w:r>
    </w:p>
    <w:p>
      <w:pPr>
        <w:pStyle w:val="Heading2"/>
      </w:pPr>
      <w:r>
        <w:rPr>
          <w:color w:val="000000"/>
        </w:rPr>
        <w:t>Questions before use</w:t>
      </w:r>
    </w:p>
    <w:p>
      <w:r>
        <w:rPr>
          <w:color w:val="000000"/>
        </w:rPr>
        <w:t>Does the study examine a decision and objective like mine, even if the sector differs? Are scale, incentives, governance and resources comparable? What evidence would show that a proposed action is not helping? What consequences would make a small test inappropriate?</w:t>
      </w:r>
    </w:p>
    <w:p>
      <w:pPr>
        <w:pStyle w:val="Heading2"/>
      </w:pPr>
      <w:r>
        <w:rPr>
          <w:color w:val="000000"/>
        </w:rPr>
        <w:t>Review information in a real brief</w:t>
      </w:r>
    </w:p>
    <w:p>
      <w:r>
        <w:rPr>
          <w:color w:val="000000"/>
        </w:rPr>
        <w:t>The public label would state Editorial translation review when that process had actually been completed. A link would connect the brief to its source and any correction. The label would not imply that the brief itself had undergone independent research peer review.</w:t>
      </w:r>
    </w:p>
    <w:p>
      <w:pPr>
        <w:pStyle w:val="Heading1"/>
        <w:pageBreakBefore/>
      </w:pPr>
      <w:r>
        <w:rPr>
          <w:color w:val="000000"/>
        </w:rPr>
        <w:t>When are lessons ready to transfer</w:t>
      </w:r>
    </w:p>
    <w:p>
      <w:pPr>
        <w:spacing w:after="180"/>
      </w:pPr>
      <w:r>
        <w:rPr>
          <w:rFonts w:ascii="Arial" w:hAnsi="Arial"/>
          <w:color w:val="4F5C62"/>
          <w:sz w:val="17"/>
        </w:rPr>
        <w:t>Practice Challenge layout excerpt | Original concept question | Not reviewed</w:t>
      </w:r>
    </w:p>
    <w:p>
      <w:pPr>
        <w:pStyle w:val="Heading2"/>
      </w:pPr>
      <w:r>
        <w:rPr>
          <w:color w:val="000000"/>
        </w:rPr>
        <w:t>Problem to investigate</w:t>
      </w:r>
    </w:p>
    <w:p>
      <w:r>
        <w:rPr>
          <w:color w:val="000000"/>
        </w:rPr>
        <w:t>Project teams may record lessons in language that assumes the reader understands the original setting. A future team may encounter the lesson without knowing which conditions made the response plausible. This specimen frames a question for investigation; it does not claim a measured prevalence of the problem.</w:t>
      </w:r>
    </w:p>
    <w:p>
      <w:pPr>
        <w:pStyle w:val="Heading2"/>
      </w:pPr>
      <w:r>
        <w:rPr>
          <w:color w:val="000000"/>
        </w:rPr>
        <w:t>The professional decision</w:t>
      </w:r>
    </w:p>
    <w:p>
      <w:r>
        <w:rPr>
          <w:color w:val="000000"/>
        </w:rPr>
        <w:t>Before reusing a lesson, a sponsor or project manager needs to decide whether the earlier situation is sufficiently comparable and what further evidence would reduce uncertainty. A lesson repository might support that decision if each entry records more than an action and a result.</w:t>
      </w:r>
    </w:p>
    <w:p>
      <w:pPr>
        <w:pStyle w:val="Heading2"/>
      </w:pPr>
      <w:r>
        <w:rPr>
          <w:color w:val="000000"/>
        </w:rPr>
        <w:t>Candidate information to examine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048"/>
      </w:tblGrid>
      <w:tr>
        <w:trPr>
          <w:cantSplit/>
          <w:tblHeader/>
          <w:tblHeader/>
        </w:trPr>
        <w:tc>
          <w:tcPr>
            <w:tcW w:type="dxa" w:w="3744"/>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Field proposed for a lesson</w:t>
            </w:r>
          </w:p>
        </w:tc>
        <w:tc>
          <w:tcPr>
            <w:tcW w:type="dxa" w:w="6048"/>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Question it helps a reader ask</w:t>
            </w:r>
          </w:p>
        </w:tc>
      </w:tr>
      <w:tr>
        <w:trPr>
          <w:cantSplit/>
        </w:trPr>
        <w:tc>
          <w:tcPr>
            <w:tcW w:type="dxa" w:w="374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before="0" w:after="20" w:line="240" w:lineRule="exact"/>
            </w:pPr>
            <w:r>
              <w:rPr>
                <w:rFonts w:ascii="Arial" w:hAnsi="Arial"/>
                <w:b w:val="0"/>
                <w:color w:val="000000"/>
                <w:sz w:val="18"/>
              </w:rPr>
              <w:t>Project objective and alternatives</w:t>
            </w:r>
          </w:p>
        </w:tc>
        <w:tc>
          <w:tcPr>
            <w:tcW w:type="dxa" w:w="604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before="0" w:after="20" w:line="240" w:lineRule="exact"/>
            </w:pPr>
            <w:r>
              <w:rPr>
                <w:rFonts w:ascii="Arial" w:hAnsi="Arial"/>
                <w:b w:val="0"/>
                <w:color w:val="000000"/>
                <w:sz w:val="18"/>
              </w:rPr>
              <w:t>What was the team trying to achieve and choosing between?</w:t>
            </w:r>
          </w:p>
        </w:tc>
      </w:tr>
      <w:tr>
        <w:trPr>
          <w:cantSplit/>
        </w:trPr>
        <w:tc>
          <w:tcPr>
            <w:tcW w:type="dxa" w:w="374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Context and constraints</w:t>
            </w:r>
          </w:p>
        </w:tc>
        <w:tc>
          <w:tcPr>
            <w:tcW w:type="dxa" w:w="6048"/>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shaped the response?</w:t>
            </w:r>
          </w:p>
        </w:tc>
      </w:tr>
      <w:tr>
        <w:trPr>
          <w:cantSplit/>
        </w:trPr>
        <w:tc>
          <w:tcPr>
            <w:tcW w:type="dxa" w:w="374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Evidence and observation period</w:t>
            </w:r>
          </w:p>
        </w:tc>
        <w:tc>
          <w:tcPr>
            <w:tcW w:type="dxa" w:w="604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supports the claimed result?</w:t>
            </w:r>
          </w:p>
        </w:tc>
      </w:tr>
      <w:tr>
        <w:trPr>
          <w:cantSplit/>
        </w:trPr>
        <w:tc>
          <w:tcPr>
            <w:tcW w:type="dxa" w:w="374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Author role and interests</w:t>
            </w:r>
          </w:p>
        </w:tc>
        <w:tc>
          <w:tcPr>
            <w:tcW w:type="dxa" w:w="6048"/>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perspective may influence the account?</w:t>
            </w:r>
          </w:p>
        </w:tc>
      </w:tr>
      <w:tr>
        <w:trPr>
          <w:cantSplit/>
        </w:trPr>
        <w:tc>
          <w:tcPr>
            <w:tcW w:type="dxa" w:w="374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Transfer conditions</w:t>
            </w:r>
          </w:p>
        </w:tc>
        <w:tc>
          <w:tcPr>
            <w:tcW w:type="dxa" w:w="604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must hold for reuse to be plausible?</w:t>
            </w:r>
          </w:p>
        </w:tc>
      </w:tr>
      <w:tr>
        <w:trPr>
          <w:cantSplit/>
        </w:trPr>
        <w:tc>
          <w:tcPr>
            <w:tcW w:type="dxa" w:w="374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Contradictory evidence</w:t>
            </w:r>
          </w:p>
        </w:tc>
        <w:tc>
          <w:tcPr>
            <w:tcW w:type="dxa" w:w="6048"/>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What would make us reconsider?</w:t>
            </w:r>
          </w:p>
        </w:tc>
      </w:tr>
    </w:tbl>
    <w:p>
      <w:pPr>
        <w:spacing w:after="0" w:line="80" w:before="0" w:lineRule="exact"/>
      </w:pPr>
      <w:r>
        <w:rPr>
          <w:color w:val="000000"/>
        </w:rPr>
      </w:r>
      <w:r>
        <w:rPr>
          <w:color w:val="000000"/>
        </w:rPr>
      </w:r>
    </w:p>
    <w:p>
      <w:pPr>
        <w:pStyle w:val="Heading2"/>
      </w:pPr>
      <w:r>
        <w:rPr>
          <w:color w:val="000000"/>
        </w:rPr>
        <w:t>Researchable questions</w:t>
      </w:r>
    </w:p>
    <w:p>
      <w:r>
        <w:rPr>
          <w:color w:val="000000"/>
        </w:rPr>
        <w:t>Which fields help another team identify whether a lesson applies? What additional effort does structured documentation require? Can readers distinguish observed outcomes from retrospective interpretation? How do confidentiality constraints affect the usefulness of a case?</w:t>
      </w:r>
    </w:p>
    <w:p>
      <w:r>
        <w:rPr>
          <w:color w:val="000000"/>
        </w:rPr>
        <w:t>These questions could be investigated through appropriately authorised case analysis or reader studies. A study would need a defined design, sampling rationale, consent or other applicable permissions and transparent limitations. No organisation or reviewer has committed to such a study through this specimen.</w:t>
      </w:r>
    </w:p>
    <w:p>
      <w:pPr>
        <w:pStyle w:val="Heading2"/>
      </w:pPr>
      <w:r>
        <w:rPr>
          <w:color w:val="000000"/>
        </w:rPr>
        <w:t>Contribution route</w:t>
      </w:r>
    </w:p>
    <w:p>
      <w:r>
        <w:rPr>
          <w:color w:val="000000"/>
        </w:rPr>
        <w:t>A future call could invite documented cases, research designs or evidence notes addressing these questions. Any call would identify approved editors, dates and assessment routes. The present page is not an open call and supplies no submission address.</w:t>
      </w:r>
    </w:p>
    <w:p>
      <w:pPr>
        <w:pStyle w:val="Heading1"/>
        <w:pageBreakBefore/>
      </w:pPr>
      <w:r>
        <w:rPr>
          <w:color w:val="000000"/>
        </w:rPr>
        <w:t>Preparing a contribution</w:t>
      </w:r>
    </w:p>
    <w:p>
      <w:pPr>
        <w:pStyle w:val="Heading2"/>
      </w:pPr>
      <w:r>
        <w:rPr>
          <w:color w:val="000000"/>
        </w:rPr>
        <w:t>Choose the format that matches your evidence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584"/>
        <w:gridCol w:w="5040"/>
      </w:tblGrid>
      <w:tr>
        <w:trPr>
          <w:cantSplit/>
          <w:tblHeader/>
          <w:tblHeader/>
        </w:trPr>
        <w:tc>
          <w:tcPr>
            <w:tcW w:type="dxa" w:w="3168"/>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Format</w:t>
            </w:r>
          </w:p>
        </w:tc>
        <w:tc>
          <w:tcPr>
            <w:tcW w:type="dxa" w:w="1584"/>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Main-text words</w:t>
            </w:r>
          </w:p>
        </w:tc>
        <w:tc>
          <w:tcPr>
            <w:tcW w:type="dxa" w:w="5040"/>
            <w:vAlign w:val="center"/>
            <w:tcMar>
              <w:top w:w="55" w:type="dxa"/>
              <w:left w:w="85" w:type="dxa"/>
              <w:bottom w:w="55" w:type="dxa"/>
              <w:right w:w="85" w:type="dxa"/>
            </w:tcMar>
            <w:shd w:fill="172F3E"/>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color w:val="FFFFFF"/>
                <w:sz w:val="18"/>
              </w:rPr>
              <w:t>Proposed assessment</w:t>
            </w:r>
          </w:p>
        </w:tc>
      </w:tr>
      <w:tr>
        <w:trPr>
          <w:cantSplit/>
        </w:trPr>
        <w:tc>
          <w:tcPr>
            <w:tcW w:type="dxa" w:w="316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Research Article</w:t>
            </w:r>
          </w:p>
        </w:tc>
        <w:tc>
          <w:tcPr>
            <w:tcW w:type="dxa" w:w="158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6,000–9,000</w:t>
            </w:r>
          </w:p>
        </w:tc>
        <w:tc>
          <w:tcPr>
            <w:tcW w:type="dxa" w:w="5040"/>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At least two independent external reviews</w:t>
            </w:r>
          </w:p>
        </w:tc>
      </w:tr>
      <w:tr>
        <w:trPr>
          <w:cantSplit/>
        </w:trPr>
        <w:tc>
          <w:tcPr>
            <w:tcW w:type="dxa" w:w="3168"/>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Evidence Review within research</w:t>
            </w:r>
          </w:p>
        </w:tc>
        <w:tc>
          <w:tcPr>
            <w:tcW w:type="dxa" w:w="158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5,000–8,000</w:t>
            </w:r>
          </w:p>
        </w:tc>
        <w:tc>
          <w:tcPr>
            <w:tcW w:type="dxa" w:w="5040"/>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Research review with method expertise</w:t>
            </w:r>
          </w:p>
        </w:tc>
      </w:tr>
      <w:tr>
        <w:trPr>
          <w:cantSplit/>
        </w:trPr>
        <w:tc>
          <w:tcPr>
            <w:tcW w:type="dxa" w:w="316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Practitioner Case</w:t>
            </w:r>
          </w:p>
        </w:tc>
        <w:tc>
          <w:tcPr>
            <w:tcW w:type="dxa" w:w="158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3,000–5,000</w:t>
            </w:r>
          </w:p>
        </w:tc>
        <w:tc>
          <w:tcPr>
            <w:tcW w:type="dxa" w:w="5040"/>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Normally two external reviewers</w:t>
            </w:r>
          </w:p>
        </w:tc>
      </w:tr>
      <w:tr>
        <w:trPr>
          <w:cantSplit/>
        </w:trPr>
        <w:tc>
          <w:tcPr>
            <w:tcW w:type="dxa" w:w="3168"/>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Research to Practice Brief</w:t>
            </w:r>
          </w:p>
        </w:tc>
        <w:tc>
          <w:tcPr>
            <w:tcW w:type="dxa" w:w="1584"/>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1,200–2,000</w:t>
            </w:r>
          </w:p>
        </w:tc>
        <w:tc>
          <w:tcPr>
            <w:tcW w:type="dxa" w:w="5040"/>
            <w:vAlign w:val="center"/>
            <w:tcMar>
              <w:top w:w="55" w:type="dxa"/>
              <w:left w:w="85" w:type="dxa"/>
              <w:bottom w:w="55" w:type="dxa"/>
              <w:right w:w="85" w:type="dxa"/>
            </w:tcMar>
            <w:shd w:fill="FFFFFF"/>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Editorial translation review</w:t>
            </w:r>
          </w:p>
        </w:tc>
      </w:tr>
      <w:tr>
        <w:trPr>
          <w:cantSplit/>
        </w:trPr>
        <w:tc>
          <w:tcPr>
            <w:tcW w:type="dxa" w:w="3168"/>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Challenge or Evidence Note</w:t>
            </w:r>
          </w:p>
        </w:tc>
        <w:tc>
          <w:tcPr>
            <w:tcW w:type="dxa" w:w="1584"/>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jc w:val="center"/>
            </w:pPr>
            <w:r>
              <w:rPr>
                <w:rFonts w:ascii="Arial" w:hAnsi="Arial"/>
                <w:b w:val="0"/>
                <w:color w:val="000000"/>
                <w:sz w:val="18"/>
              </w:rPr>
              <w:t>1,500–2,500</w:t>
            </w:r>
          </w:p>
        </w:tc>
        <w:tc>
          <w:tcPr>
            <w:tcW w:type="dxa" w:w="5040"/>
            <w:vAlign w:val="center"/>
            <w:tcMar>
              <w:top w:w="55" w:type="dxa"/>
              <w:left w:w="85" w:type="dxa"/>
              <w:bottom w:w="55" w:type="dxa"/>
              <w:right w:w="85" w:type="dxa"/>
            </w:tcMar>
            <w:shd w:fill="EFF2F2"/>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20" w:before="0" w:line="240" w:lineRule="exact"/>
            </w:pPr>
            <w:r>
              <w:rPr>
                <w:rFonts w:ascii="Arial" w:hAnsi="Arial"/>
                <w:b w:val="0"/>
                <w:color w:val="000000"/>
                <w:sz w:val="18"/>
              </w:rPr>
              <w:t>Editorial and domain assessment</w:t>
            </w:r>
          </w:p>
        </w:tc>
      </w:tr>
    </w:tbl>
    <w:p>
      <w:pPr>
        <w:spacing w:after="0" w:line="80" w:before="0" w:lineRule="exact"/>
      </w:pPr>
      <w:r>
        <w:rPr>
          <w:color w:val="000000"/>
        </w:rPr>
      </w:r>
      <w:r>
        <w:rPr>
          <w:color w:val="000000"/>
        </w:rPr>
      </w:r>
    </w:p>
    <w:p>
      <w:r>
        <w:rPr>
          <w:color w:val="000000"/>
        </w:rPr>
        <w:t>The separate Guide for Authors sets word-count exclusions, summaries, decision relevance, keywords, declarations and preparation requirements. These abbreviated specimen pages are not submission-length examples.</w:t>
      </w:r>
    </w:p>
    <w:p>
      <w:pPr>
        <w:pStyle w:val="Heading2"/>
      </w:pPr>
      <w:r>
        <w:rPr>
          <w:color w:val="000000"/>
        </w:rPr>
        <w:t>Before submitting</w:t>
      </w:r>
    </w:p>
    <w:p>
      <w:r>
        <w:rPr>
          <w:color w:val="000000"/>
        </w:rPr>
        <w:t>Check the official guide version and the confirmed submission channel once announced. Prepare a separate private title page and review-appropriate manuscript. Address evidence provenance, uncertainty, author interests, permissions and data access. Do not submit to a contact address invented from the proposed journal name.</w:t>
      </w:r>
    </w:p>
    <w:p>
      <w:pPr>
        <w:pStyle w:val="Heading2"/>
      </w:pPr>
      <w:r>
        <w:rPr>
          <w:color w:val="000000"/>
        </w:rPr>
        <w:t>Production specification for this specimen</w:t>
      </w:r>
    </w:p>
    <w:p>
      <w:r>
        <w:rPr>
          <w:color w:val="000000"/>
        </w:rPr>
        <w:t>This Word document is the editable hardcopy design. Use A4 portrait at 100 percent scale, with duplex printing and long-edge binding for a conventional document. It is arranged in normal reading order. Check pagination and a physical proof after editing; use printer imposition only if a folded booklet is required.</w:t>
      </w:r>
    </w:p>
    <w:p>
      <w:r>
        <w:rPr>
          <w:color w:val="000000"/>
        </w:rPr>
        <w:t>The page design uses approximately 18 mm margins, native text and editable tables. No bleed or crop marks are needed. Black-and-white printing retains the text and table structure. Keep the specimen labels visible until real publication details have been approved.</w:t>
      </w:r>
    </w:p>
    <w:p>
      <w:pPr>
        <w:pStyle w:val="Heading2"/>
      </w:pPr>
      <w:r>
        <w:rPr>
          <w:color w:val="000000"/>
        </w:rPr>
        <w:t>Contributor support and media companions</w:t>
      </w:r>
    </w:p>
    <w:p>
      <w:r>
        <w:rPr>
          <w:color w:val="000000"/>
        </w:rPr>
        <w:t>Interview-supported contributions and optional video or short explanations are being explored. Availability and requirements will be confirmed before these services are offered. Contributors would approve the text, establish authorship and permissions, and follow the ordinary assessment route. Spoken video would need captions and a transcript; audio would need a transcript. All companions require source links, an accurate review label and linked corrections.</w:t>
      </w:r>
    </w:p>
    <w:p>
      <w:pPr>
        <w:pStyle w:val="Heading2"/>
      </w:pPr>
      <w:r>
        <w:rPr>
          <w:color w:val="000000"/>
        </w:rPr>
        <w:t>Publication readiness</w:t>
      </w:r>
    </w:p>
    <w:p>
      <w:r>
        <w:rPr>
          <w:color w:val="000000"/>
        </w:rPr>
        <w:t>Assess readability, evidence visibility and review labels before producing a real issue. Publication requires an accountable host, approved policies, editorial capacity and confirmed support. All project budget figures are hypothetical planning assumptions; this specimen establishes no funding or service commitment.</w:t>
      </w:r>
    </w:p>
    <w:sectPr w:rsidR="00FC693F" w:rsidRPr="0006063C" w:rsidSect="00034616">
      <w:footerReference w:type="default" r:id="rId9"/>
      <w:headerReference w:type="default" r:id="rId10"/>
      <w:pgSz w:w="11905" w:h="16838"/>
      <w:pgMar w:top="1008" w:right="1037" w:bottom="936" w:left="1037"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92" w:val="right"/>
      </w:tabs>
      <w:spacing w:before="0" w:after="0"/>
      <w:jc w:val="left"/>
    </w:pPr>
    <w:r>
      <w:rPr>
        <w:rFonts w:ascii="Arial" w:hAnsi="Arial"/>
        <w:sz w:val="15"/>
      </w:rPr>
      <w:t>DESIGN SPECIMEN  |  NOT A PUBLISHED ISSUE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6"/>
      </w:rPr>
      <w:t>PRAPJ     PROJECT RESEARCH AND PRACTICE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8" w:lineRule="exact"/>
    </w:pPr>
    <w:rPr>
      <w:rFonts w:ascii="Georgia" w:hAnsi="Georgia"/>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00" w:line="259" w:lineRule="auto"/>
      <w:outlineLvl w:val="0"/>
    </w:pPr>
    <w:rPr>
      <w:rFonts w:ascii="Georgia" w:hAnsi="Georgia"/>
      <w:b w:val="0"/>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7" w:lineRule="auto"/>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before="0"/>
      <w:contextualSpacing/>
    </w:pPr>
    <w:rPr>
      <w:rFonts w:ascii="Georgia" w:hAnsi="Georgia"/>
      <w:b w:val="0"/>
      <w:color w:val="000000"/>
      <w:spacing w:val="5"/>
      <w:kern w:val="28"/>
      <w:sz w:val="1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PRAPJ Hardcopy Journal Design</dc:title>
  <dc:subject>Editable journal reading specimen with fictional examples</dc:subject>
  <dc:creator>Team DOMINUS</dc:creator>
  <cp:keywords/>
  <dc:description/>
  <cp:lastModifiedBy/>
  <cp:revision>1</cp:revision>
  <dcterms:created xsi:type="dcterms:W3CDTF">2013-12-23T23:15:00Z</dcterms:created>
  <dcterms:modified xsi:type="dcterms:W3CDTF">2013-12-23T23:15:00Z</dcterms:modified>
  <cp:category/>
</cp:coreProperties>
</file>