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412DA" w14:textId="0A24CB83"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8" w:history="1">
        <w:r w:rsidRPr="001E7F84">
          <w:rPr>
            <w:rStyle w:val="Hyperlink"/>
            <w:rFonts w:ascii="Times New Roman" w:hAnsi="Times New Roman" w:cs="Times New Roman"/>
          </w:rPr>
          <w:t>mehauer@fsu.edu</w:t>
        </w:r>
      </w:hyperlink>
    </w:p>
    <w:p w14:paraId="32AEFA62" w14:textId="5C4279E2"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718E4362" w14:textId="67AA5634"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in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system</w:t>
      </w:r>
      <w:r w:rsidR="000C302F">
        <w:rPr>
          <w:rFonts w:ascii="Times New Roman" w:hAnsi="Times New Roman" w:cs="Times New Roman"/>
        </w:rPr>
        <w:t>, implemented</w:t>
      </w:r>
      <w:r w:rsidR="0051710A">
        <w:rPr>
          <w:rFonts w:ascii="Times New Roman" w:hAnsi="Times New Roman" w:cs="Times New Roman"/>
        </w:rPr>
        <w:t xml:space="preserve"> with the 2020 Census tabulations </w:t>
      </w:r>
      <w:r w:rsidR="0051710A">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sidR="0051710A">
        <w:rPr>
          <w:rFonts w:ascii="Times New Roman" w:hAnsi="Times New Roman" w:cs="Times New Roman"/>
        </w:rPr>
        <w:fldChar w:fldCharType="end"/>
      </w:r>
      <w:r w:rsidR="000C302F">
        <w:rPr>
          <w:rFonts w:ascii="Times New Roman" w:hAnsi="Times New Roman" w:cs="Times New Roman"/>
        </w:rPr>
        <w:t>,</w:t>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 and t</w:t>
      </w:r>
      <w:r w:rsidR="007E1F07">
        <w:rPr>
          <w:rFonts w:ascii="Times New Roman" w:hAnsi="Times New Roman" w:cs="Times New Roman"/>
        </w:rPr>
        <w:t xml:space="preserve">he extent to which DP, as proposed, would distort the calculation of </w:t>
      </w:r>
      <w:r w:rsidR="007763ED">
        <w:rPr>
          <w:rFonts w:ascii="Times New Roman" w:hAnsi="Times New Roman" w:cs="Times New Roman"/>
        </w:rPr>
        <w:t>COVID-19</w:t>
      </w:r>
      <w:r w:rsidR="007E1F07">
        <w:rPr>
          <w:rFonts w:ascii="Times New Roman" w:hAnsi="Times New Roman" w:cs="Times New Roman"/>
        </w:rPr>
        <w:t xml:space="preserve">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w:t>
      </w:r>
      <w:r w:rsidR="007763ED">
        <w:rPr>
          <w:rFonts w:ascii="Times New Roman" w:hAnsi="Times New Roman" w:cs="Times New Roman"/>
        </w:rPr>
        <w:t xml:space="preserve"> and</w:t>
      </w:r>
      <w:r w:rsidR="007E1F07">
        <w:rPr>
          <w:rFonts w:ascii="Times New Roman" w:hAnsi="Times New Roman" w:cs="Times New Roman"/>
        </w:rPr>
        <w:t xml:space="preserve"> tracking</w:t>
      </w:r>
      <w:r w:rsidR="007763ED">
        <w:rPr>
          <w:rFonts w:ascii="Times New Roman" w:hAnsi="Times New Roman" w:cs="Times New Roman"/>
        </w:rPr>
        <w:t xml:space="preserve"> </w:t>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and </w:t>
      </w:r>
      <w:r w:rsidR="007763ED">
        <w:rPr>
          <w:rFonts w:ascii="Times New Roman" w:hAnsi="Times New Roman" w:cs="Times New Roman"/>
        </w:rPr>
        <w:t xml:space="preserve">manage </w:t>
      </w:r>
      <w:r w:rsidR="00B5290D">
        <w:rPr>
          <w:rFonts w:ascii="Times New Roman" w:hAnsi="Times New Roman" w:cs="Times New Roman"/>
        </w:rPr>
        <w:t>future public health crises</w:t>
      </w:r>
      <w:r w:rsidR="00E71E0E">
        <w:rPr>
          <w:rFonts w:ascii="Times New Roman" w:hAnsi="Times New Roman" w:cs="Times New Roman"/>
        </w:rPr>
        <w:t>.</w:t>
      </w:r>
      <w:r w:rsidR="007E1F07">
        <w:rPr>
          <w:rFonts w:ascii="Times New Roman" w:hAnsi="Times New Roman" w:cs="Times New Roman"/>
        </w:rPr>
        <w:t xml:space="preserve"> </w:t>
      </w:r>
    </w:p>
    <w:p w14:paraId="0CA96F39" w14:textId="103ED4F4" w:rsidR="00565BCF" w:rsidRDefault="00565BCF" w:rsidP="00565BCF">
      <w:pPr>
        <w:jc w:val="both"/>
        <w:rPr>
          <w:rFonts w:ascii="Times New Roman" w:hAnsi="Times New Roman" w:cs="Times New Roman"/>
        </w:rPr>
      </w:pPr>
      <w:r>
        <w:rPr>
          <w:rFonts w:ascii="Times New Roman" w:hAnsi="Times New Roman" w:cs="Times New Roman"/>
        </w:rPr>
        <w:t xml:space="preserve">Accurate population counts are just as important as accurate COVID-19 related counts and after the release of Census 2020 data we fear DP will render most COVID-19 rates confused at best and highly inaccurate at worst. The implementation of DP, as proposed, will substantially reduce our understanding of the pandemic’s dynamics for rural areas, racial/ethnic minorities, and age groups. </w:t>
      </w:r>
    </w:p>
    <w:p w14:paraId="3F818EA7" w14:textId="27C868AB" w:rsidR="00E848EB" w:rsidRDefault="00E848EB" w:rsidP="00E848EB">
      <w:pPr>
        <w:jc w:val="both"/>
        <w:rPr>
          <w:rFonts w:ascii="Times New Roman" w:hAnsi="Times New Roman" w:cs="Times New Roman"/>
        </w:rPr>
      </w:pPr>
      <w:r>
        <w:rPr>
          <w:rFonts w:ascii="Times New Roman" w:hAnsi="Times New Roman" w:cs="Times New Roman"/>
        </w:rPr>
        <w:t xml:space="preserve">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Starting with Census 2020, the US Census Bureau plans to “modernize” its disclosure avoidance practices using DP </w:t>
      </w:r>
      <w:r>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This is the first 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Pr>
          <w:rFonts w:ascii="Times New Roman" w:hAnsi="Times New Roman" w:cs="Times New Roman"/>
        </w:rPr>
        <w:t>.</w:t>
      </w:r>
    </w:p>
    <w:p w14:paraId="684A6D83" w14:textId="77777777" w:rsidR="00E848EB" w:rsidRDefault="00E848EB" w:rsidP="00E848EB">
      <w:pPr>
        <w:jc w:val="both"/>
        <w:rPr>
          <w:rFonts w:ascii="Times New Roman" w:hAnsi="Times New Roman" w:cs="Times New Roman"/>
        </w:rPr>
      </w:pPr>
      <w:r>
        <w:rPr>
          <w:rFonts w:ascii="Times New Roman" w:hAnsi="Times New Roman" w:cs="Times New Roman"/>
        </w:rPr>
        <w:lastRenderedPageBreak/>
        <w:t>Under the Census Bureau’s proposed DP algorithm, population counts will be subject to noise infusion, drawn from a statistical distribution. The DP algorithm</w:t>
      </w:r>
      <w:r w:rsidRPr="00AA526E">
        <w:rPr>
          <w:rFonts w:ascii="Times New Roman" w:hAnsi="Times New Roman" w:cs="Times New Roman"/>
        </w:rPr>
        <w:t xml:space="preserve"> operates by adding or subtracting random</w:t>
      </w:r>
      <w:r>
        <w:rPr>
          <w:rFonts w:ascii="Times New Roman" w:hAnsi="Times New Roman" w:cs="Times New Roman"/>
        </w:rPr>
        <w:t xml:space="preserve"> numerical values to “true” population data, under a specific privacy budget</w:t>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noise-infused DP counts could lead to substantial over/under estimation of COVID-19 rates, dependent on the divergence between the two.</w:t>
      </w:r>
    </w:p>
    <w:p w14:paraId="57A35B48" w14:textId="5BBEA141"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the calculation of both COVID-19 incidence and prevalence would be identical.</w:t>
      </w:r>
    </w:p>
    <w:p w14:paraId="7BEDCCA2" w14:textId="35DE552E"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764F84E8"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3D2B02F7"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How are we to understand this pandemic</w:t>
      </w:r>
      <w:r w:rsidR="00AB11F4">
        <w:rPr>
          <w:rFonts w:ascii="Times New Roman" w:eastAsia="Times New Roman" w:hAnsi="Times New Roman" w:cs="Times New Roman"/>
        </w:rPr>
        <w:t xml:space="preserve"> </w:t>
      </w:r>
      <w:r w:rsidRPr="00D90955">
        <w:rPr>
          <w:rFonts w:ascii="Times New Roman" w:eastAsia="Times New Roman" w:hAnsi="Times New Roman" w:cs="Times New Roman"/>
        </w:rPr>
        <w:t xml:space="preserve">if the very foundation upon which we calculate the most basic rates contain significant </w:t>
      </w:r>
      <w:r>
        <w:rPr>
          <w:rFonts w:ascii="Times New Roman" w:eastAsia="Times New Roman" w:hAnsi="Times New Roman" w:cs="Times New Roman"/>
        </w:rPr>
        <w:t>distortion</w:t>
      </w:r>
      <w:r w:rsidRPr="00D90955">
        <w:rPr>
          <w:rFonts w:ascii="Times New Roman" w:eastAsia="Times New Roman" w:hAnsi="Times New Roman" w:cs="Times New Roman"/>
        </w:rPr>
        <w:t>?</w:t>
      </w:r>
      <w:r w:rsidR="00E01811">
        <w:rPr>
          <w:rFonts w:ascii="Times New Roman" w:eastAsia="Times New Roman" w:hAnsi="Times New Roman" w:cs="Times New Roman"/>
        </w:rPr>
        <w:t xml:space="preserve"> </w:t>
      </w:r>
      <w:r w:rsidRPr="00D90955">
        <w:rPr>
          <w:rFonts w:ascii="Times New Roman" w:eastAsia="Times New Roman" w:hAnsi="Times New Roman" w:cs="Times New Roman"/>
        </w:rPr>
        <w:t xml:space="preserve">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w:t>
      </w:r>
      <w:r w:rsidRPr="00D90955">
        <w:rPr>
          <w:rFonts w:ascii="Times New Roman" w:eastAsia="Times New Roman" w:hAnsi="Times New Roman" w:cs="Times New Roman"/>
        </w:rPr>
        <w:lastRenderedPageBreak/>
        <w:t>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19699181"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B9290F">
        <w:rPr>
          <w:rFonts w:ascii="Times New Roman" w:hAnsi="Times New Roman" w:cs="Times New Roman"/>
        </w:rPr>
        <w:t xml:space="preserve">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however,</w:t>
      </w:r>
      <w:r w:rsidR="000C6A00">
        <w:rPr>
          <w:rFonts w:ascii="Times New Roman" w:hAnsi="Times New Roman" w:cs="Times New Roman"/>
        </w:rPr>
        <w:t xml:space="preserve"> only contains race-sex breakouts</w:t>
      </w:r>
      <w:r w:rsidR="00891221">
        <w:rPr>
          <w:rFonts w:ascii="Times New Roman" w:hAnsi="Times New Roman" w:cs="Times New Roman"/>
        </w:rPr>
        <w:t>, making it impossible to assess</w:t>
      </w:r>
      <w:r w:rsidR="003B17BA">
        <w:rPr>
          <w:rFonts w:ascii="Times New Roman" w:hAnsi="Times New Roman" w:cs="Times New Roman"/>
        </w:rPr>
        <w:t xml:space="preserve"> if the Census Bureau improved the utility of the data.</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sacrifices the usefulness of basic COVID-19 calculations in most counties.</w:t>
      </w:r>
    </w:p>
    <w:p w14:paraId="5A9510BA" w14:textId="610B2C98"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in the next 12 months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4C609654"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next major global pandemic, any statistical measures arising from the United States will be far less meaningful due to the injection of noise in the very building blocks of COVID-19 rates. </w:t>
      </w:r>
    </w:p>
    <w:p w14:paraId="5B4B3AEE" w14:textId="76727829"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COVID-19 rates rapidly </w:t>
      </w:r>
      <w:r w:rsidR="00270FB5">
        <w:rPr>
          <w:rFonts w:ascii="Times New Roman" w:eastAsia="Times New Roman" w:hAnsi="Times New Roman" w:cs="Times New Roman"/>
        </w:rPr>
        <w:t xml:space="preserve">reduces </w:t>
      </w:r>
      <w:r w:rsidR="003542AB" w:rsidRPr="00D90955">
        <w:rPr>
          <w:rFonts w:ascii="Times New Roman" w:eastAsia="Times New Roman" w:hAnsi="Times New Roman" w:cs="Times New Roman"/>
        </w:rPr>
        <w:t xml:space="preserve">as population sizes get 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 xml:space="preserve">pool data together in either wider age intervals (ie 20-year age intervals rather than 10-year age intervals) or wider race classifications (ie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w:t>
      </w:r>
      <w:r w:rsidRPr="00D90955">
        <w:rPr>
          <w:rFonts w:ascii="Times New Roman" w:eastAsia="Times New Roman" w:hAnsi="Times New Roman" w:cs="Times New Roman"/>
        </w:rPr>
        <w:lastRenderedPageBreak/>
        <w:t xml:space="preserve">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047D9309"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 xml:space="preserve">minimum standards for COVID-19 analyses using Census 2020 </w:t>
      </w:r>
      <w:r w:rsidR="003D7D6C">
        <w:rPr>
          <w:rFonts w:ascii="Times New Roman" w:eastAsia="Times New Roman" w:hAnsi="Times New Roman" w:cs="Times New Roman"/>
        </w:rPr>
        <w:t xml:space="preserve">and subsequent </w:t>
      </w:r>
      <w:r w:rsidR="00AD49AA" w:rsidRPr="00D90955">
        <w:rPr>
          <w:rFonts w:ascii="Times New Roman" w:eastAsia="Times New Roman" w:hAnsi="Times New Roman" w:cs="Times New Roman"/>
        </w:rPr>
        <w:t>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w:t>
      </w:r>
      <w:r w:rsidR="006E0065">
        <w:rPr>
          <w:rFonts w:ascii="Times New Roman" w:eastAsia="Times New Roman" w:hAnsi="Times New Roman" w:cs="Times New Roman"/>
        </w:rPr>
        <w:t xml:space="preserve">accurately reflect their chosen measurement and the social phenomenon </w:t>
      </w:r>
      <w:r w:rsidR="001D7B4D">
        <w:rPr>
          <w:rFonts w:ascii="Times New Roman" w:eastAsia="Times New Roman" w:hAnsi="Times New Roman" w:cs="Times New Roman"/>
        </w:rPr>
        <w:t>of interest</w:t>
      </w:r>
      <w:bookmarkStart w:id="0" w:name="_GoBack"/>
      <w:bookmarkEnd w:id="0"/>
      <w:r w:rsidR="00B5702E" w:rsidRPr="00D90955">
        <w:rPr>
          <w:rFonts w:ascii="Times New Roman" w:eastAsia="Times New Roman" w:hAnsi="Times New Roman" w:cs="Times New Roman"/>
        </w:rPr>
        <w:t>.</w:t>
      </w:r>
    </w:p>
    <w:p w14:paraId="38D73360" w14:textId="77777777" w:rsidR="00805785" w:rsidRDefault="00805785">
      <w:pPr>
        <w:rPr>
          <w:rFonts w:ascii="Times New Roman" w:hAnsi="Times New Roman" w:cs="Times New Roman"/>
          <w:b/>
        </w:rPr>
      </w:pPr>
    </w:p>
    <w:p w14:paraId="54B0F0EF" w14:textId="2990F36C"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D7F80">
      <w:pPr>
        <w:pStyle w:val="Bibliography"/>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Wadhera, P. Wadhera,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Seoane,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Remuzzi, G. Remuzzi,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Mervis, Can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doi:10.1126/science.aaw5470.</w:t>
      </w:r>
    </w:p>
    <w:p w14:paraId="06FF5253"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Zayatz,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Powazek,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lastRenderedPageBreak/>
        <w:t xml:space="preserve">12. </w:t>
      </w:r>
      <w:r w:rsidRPr="00BD7F80">
        <w:rPr>
          <w:rFonts w:ascii="Times New Roman" w:hAnsi="Times New Roman" w:cs="Times New Roman"/>
        </w:rPr>
        <w:tab/>
        <w:t xml:space="preserve">A. R. Santos-Lozada, J. T. Howard, A. M. Verdery, How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Nápoles,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Schmutte,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Gebeloff,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D7F80">
      <w:pPr>
        <w:pStyle w:val="Bibliography"/>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210E6FDC"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r w:rsidR="00492ABE" w:rsidRPr="00492ABE">
        <w:rPr>
          <w:rFonts w:ascii="Times New Roman" w:eastAsiaTheme="minorEastAsia" w:hAnsi="Times New Roman" w:cs="Times New Roman"/>
          <w:i/>
          <w:iCs/>
        </w:rPr>
        <w:t>i</w:t>
      </w:r>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group </w:t>
      </w:r>
      <w:r w:rsidR="002B3C07" w:rsidRPr="002B3C07">
        <w:rPr>
          <w:rFonts w:ascii="Times New Roman" w:eastAsiaTheme="minorEastAsia" w:hAnsi="Times New Roman" w:cs="Times New Roman"/>
          <w:i/>
          <w:iCs/>
        </w:rPr>
        <w:t>s</w:t>
      </w:r>
      <w:r w:rsidR="00CB3F70">
        <w:rPr>
          <w:rFonts w:ascii="Times New Roman" w:eastAsiaTheme="minorEastAsia" w:hAnsi="Times New Roman" w:cs="Times New Roman"/>
        </w:rPr>
        <w:t xml:space="preserve">. </w:t>
      </w:r>
      <w:r w:rsidR="00CF3791">
        <w:rPr>
          <w:rFonts w:ascii="Times New Roman" w:hAnsi="Times New Roman" w:cs="Times New Roman"/>
        </w:rPr>
        <w:t xml:space="preserve">COVID-19 mortality rates are simply calculated as the numeric deaths divided by the population.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r w:rsidR="00190959" w:rsidRPr="006129A7">
        <w:rPr>
          <w:rFonts w:ascii="Times New Roman" w:eastAsiaTheme="minorEastAsia" w:hAnsi="Times New Roman" w:cs="Times New Roman"/>
          <w:i/>
          <w:iCs/>
        </w:rPr>
        <w:t>i</w:t>
      </w:r>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77777777"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E468A" w14:textId="77777777" w:rsidR="00890927" w:rsidRDefault="00890927" w:rsidP="00ED0640">
      <w:pPr>
        <w:spacing w:after="0" w:line="240" w:lineRule="auto"/>
      </w:pPr>
      <w:r>
        <w:separator/>
      </w:r>
    </w:p>
  </w:endnote>
  <w:endnote w:type="continuationSeparator" w:id="0">
    <w:p w14:paraId="112550D8" w14:textId="77777777" w:rsidR="00890927" w:rsidRDefault="00890927"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881867"/>
      <w:docPartObj>
        <w:docPartGallery w:val="Page Numbers (Bottom of Page)"/>
        <w:docPartUnique/>
      </w:docPartObj>
    </w:sdtPr>
    <w:sdtEndPr>
      <w:rPr>
        <w:noProof/>
      </w:rPr>
    </w:sdtEndPr>
    <w:sdtContent>
      <w:p w14:paraId="34249387" w14:textId="03909628" w:rsidR="00ED0640" w:rsidRDefault="00ED0640">
        <w:pPr>
          <w:pStyle w:val="Footer"/>
          <w:jc w:val="right"/>
        </w:pPr>
        <w:r>
          <w:fldChar w:fldCharType="begin"/>
        </w:r>
        <w:r>
          <w:instrText xml:space="preserve"> PAGE   \* MERGEFORMAT </w:instrText>
        </w:r>
        <w:r>
          <w:fldChar w:fldCharType="separate"/>
        </w:r>
        <w:r w:rsidR="001D7B4D">
          <w:rPr>
            <w:noProof/>
          </w:rPr>
          <w:t>4</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1581" w14:textId="77777777" w:rsidR="00890927" w:rsidRDefault="00890927" w:rsidP="00ED0640">
      <w:pPr>
        <w:spacing w:after="0" w:line="240" w:lineRule="auto"/>
      </w:pPr>
      <w:r>
        <w:separator/>
      </w:r>
    </w:p>
  </w:footnote>
  <w:footnote w:type="continuationSeparator" w:id="0">
    <w:p w14:paraId="15749787" w14:textId="77777777" w:rsidR="00890927" w:rsidRDefault="00890927"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1EE7"/>
    <w:rsid w:val="0004680A"/>
    <w:rsid w:val="000515A6"/>
    <w:rsid w:val="000631F8"/>
    <w:rsid w:val="000753F2"/>
    <w:rsid w:val="000826C9"/>
    <w:rsid w:val="00085DC2"/>
    <w:rsid w:val="00091E29"/>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634A7"/>
    <w:rsid w:val="00165676"/>
    <w:rsid w:val="001830FE"/>
    <w:rsid w:val="00183A82"/>
    <w:rsid w:val="00190959"/>
    <w:rsid w:val="00192397"/>
    <w:rsid w:val="00195EED"/>
    <w:rsid w:val="001B270E"/>
    <w:rsid w:val="001B37FF"/>
    <w:rsid w:val="001B7B9A"/>
    <w:rsid w:val="001C35E3"/>
    <w:rsid w:val="001D140A"/>
    <w:rsid w:val="001D7B4D"/>
    <w:rsid w:val="001E19CD"/>
    <w:rsid w:val="001E7F84"/>
    <w:rsid w:val="001F2AE4"/>
    <w:rsid w:val="001F2E31"/>
    <w:rsid w:val="00205AD1"/>
    <w:rsid w:val="002074F9"/>
    <w:rsid w:val="002115CF"/>
    <w:rsid w:val="00212E79"/>
    <w:rsid w:val="00220AD2"/>
    <w:rsid w:val="00237096"/>
    <w:rsid w:val="002432F5"/>
    <w:rsid w:val="00245CC1"/>
    <w:rsid w:val="00253002"/>
    <w:rsid w:val="00257202"/>
    <w:rsid w:val="002660ED"/>
    <w:rsid w:val="00270E04"/>
    <w:rsid w:val="00270FB5"/>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D7D6C"/>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C14A3"/>
    <w:rsid w:val="005C3D51"/>
    <w:rsid w:val="005D1A20"/>
    <w:rsid w:val="005D6281"/>
    <w:rsid w:val="005E049E"/>
    <w:rsid w:val="005E11E7"/>
    <w:rsid w:val="005E3467"/>
    <w:rsid w:val="005F0E48"/>
    <w:rsid w:val="005F4A30"/>
    <w:rsid w:val="005F6138"/>
    <w:rsid w:val="00610A15"/>
    <w:rsid w:val="00610E46"/>
    <w:rsid w:val="006129A7"/>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A0E62"/>
    <w:rsid w:val="006A36C5"/>
    <w:rsid w:val="006A4666"/>
    <w:rsid w:val="006A46BE"/>
    <w:rsid w:val="006A601B"/>
    <w:rsid w:val="006B685C"/>
    <w:rsid w:val="006C0887"/>
    <w:rsid w:val="006C40D2"/>
    <w:rsid w:val="006D1291"/>
    <w:rsid w:val="006D12C7"/>
    <w:rsid w:val="006D5DD9"/>
    <w:rsid w:val="006E0065"/>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41DB"/>
    <w:rsid w:val="0077545D"/>
    <w:rsid w:val="00775FC9"/>
    <w:rsid w:val="007763ED"/>
    <w:rsid w:val="00780748"/>
    <w:rsid w:val="00783A55"/>
    <w:rsid w:val="00785D77"/>
    <w:rsid w:val="00792CA8"/>
    <w:rsid w:val="0079703B"/>
    <w:rsid w:val="007A27DC"/>
    <w:rsid w:val="007A3D96"/>
    <w:rsid w:val="007B1D7C"/>
    <w:rsid w:val="007B71BD"/>
    <w:rsid w:val="007C2877"/>
    <w:rsid w:val="007E1F07"/>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0927"/>
    <w:rsid w:val="00891221"/>
    <w:rsid w:val="00892FFA"/>
    <w:rsid w:val="00893483"/>
    <w:rsid w:val="0089602B"/>
    <w:rsid w:val="00897D6B"/>
    <w:rsid w:val="008A241A"/>
    <w:rsid w:val="008A30DB"/>
    <w:rsid w:val="008A41D8"/>
    <w:rsid w:val="008B23C3"/>
    <w:rsid w:val="008C5A26"/>
    <w:rsid w:val="008C6277"/>
    <w:rsid w:val="008E559E"/>
    <w:rsid w:val="008E6DF0"/>
    <w:rsid w:val="008F3DD1"/>
    <w:rsid w:val="009014D1"/>
    <w:rsid w:val="00911339"/>
    <w:rsid w:val="0091327D"/>
    <w:rsid w:val="009246D0"/>
    <w:rsid w:val="00924A5F"/>
    <w:rsid w:val="009254D9"/>
    <w:rsid w:val="0093701A"/>
    <w:rsid w:val="00937804"/>
    <w:rsid w:val="00940271"/>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C35D9"/>
    <w:rsid w:val="009C590D"/>
    <w:rsid w:val="009D16A2"/>
    <w:rsid w:val="009D2931"/>
    <w:rsid w:val="009D777C"/>
    <w:rsid w:val="009F400E"/>
    <w:rsid w:val="00A01438"/>
    <w:rsid w:val="00A114DF"/>
    <w:rsid w:val="00A152F4"/>
    <w:rsid w:val="00A160DB"/>
    <w:rsid w:val="00A202FD"/>
    <w:rsid w:val="00A20BA2"/>
    <w:rsid w:val="00A21C35"/>
    <w:rsid w:val="00A221DF"/>
    <w:rsid w:val="00A23C06"/>
    <w:rsid w:val="00A26C2E"/>
    <w:rsid w:val="00A30E76"/>
    <w:rsid w:val="00A31F8A"/>
    <w:rsid w:val="00A412D0"/>
    <w:rsid w:val="00A44A9A"/>
    <w:rsid w:val="00A6723D"/>
    <w:rsid w:val="00A700A4"/>
    <w:rsid w:val="00A705B8"/>
    <w:rsid w:val="00A71D7F"/>
    <w:rsid w:val="00A81B74"/>
    <w:rsid w:val="00A920B4"/>
    <w:rsid w:val="00AA0F88"/>
    <w:rsid w:val="00AA33B4"/>
    <w:rsid w:val="00AA39C5"/>
    <w:rsid w:val="00AA526E"/>
    <w:rsid w:val="00AA57C4"/>
    <w:rsid w:val="00AB11F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D71"/>
    <w:rsid w:val="00B80108"/>
    <w:rsid w:val="00B82C99"/>
    <w:rsid w:val="00B85ABB"/>
    <w:rsid w:val="00B9290F"/>
    <w:rsid w:val="00B9580F"/>
    <w:rsid w:val="00B95F43"/>
    <w:rsid w:val="00BA3AF3"/>
    <w:rsid w:val="00BA5101"/>
    <w:rsid w:val="00BA559C"/>
    <w:rsid w:val="00BA6643"/>
    <w:rsid w:val="00BB19E2"/>
    <w:rsid w:val="00BB234B"/>
    <w:rsid w:val="00BC3E1B"/>
    <w:rsid w:val="00BC6274"/>
    <w:rsid w:val="00BD1D07"/>
    <w:rsid w:val="00BD35DC"/>
    <w:rsid w:val="00BD3883"/>
    <w:rsid w:val="00BD5B21"/>
    <w:rsid w:val="00BD66C9"/>
    <w:rsid w:val="00BD7F80"/>
    <w:rsid w:val="00BE5520"/>
    <w:rsid w:val="00BF3BD8"/>
    <w:rsid w:val="00C00935"/>
    <w:rsid w:val="00C20AF5"/>
    <w:rsid w:val="00C217D0"/>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1811"/>
    <w:rsid w:val="00E03F7F"/>
    <w:rsid w:val="00E12DBC"/>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C30DD"/>
    <w:rsid w:val="00EC508F"/>
    <w:rsid w:val="00ED0640"/>
    <w:rsid w:val="00ED737D"/>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2D85"/>
    <w:rsid w:val="00F97391"/>
    <w:rsid w:val="00FA3334"/>
    <w:rsid w:val="00FA53E4"/>
    <w:rsid w:val="00FA5ACB"/>
    <w:rsid w:val="00FB04D8"/>
    <w:rsid w:val="00FB1B69"/>
    <w:rsid w:val="00FB6BBD"/>
    <w:rsid w:val="00FC04AE"/>
    <w:rsid w:val="00FC0A50"/>
    <w:rsid w:val="00FC27DF"/>
    <w:rsid w:val="00FC2D9F"/>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uer@ug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EFE2-697E-4A2E-99A7-CC4F1EFC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7991</Words>
  <Characters>45549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Santos, Alexis R</cp:lastModifiedBy>
  <cp:revision>5</cp:revision>
  <dcterms:created xsi:type="dcterms:W3CDTF">2020-07-13T22:34:00Z</dcterms:created>
  <dcterms:modified xsi:type="dcterms:W3CDTF">2020-07-13T22:37:00Z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ies>
</file>