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5A95445F"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77025" w:rsidRPr="00783A55">
        <w:rPr>
          <w:rFonts w:ascii="Times New Roman" w:hAnsi="Times New Roman" w:cs="Times New Roman"/>
          <w:b/>
        </w:rPr>
        <w:t>distort</w:t>
      </w:r>
      <w:r w:rsidR="00C77025">
        <w:rPr>
          <w:rFonts w:ascii="Times New Roman" w:hAnsi="Times New Roman" w:cs="Times New Roman"/>
          <w:b/>
        </w:rPr>
        <w:t>s</w:t>
      </w:r>
      <w:r w:rsidR="00C77025" w:rsidRPr="00783A55">
        <w:rPr>
          <w:rFonts w:ascii="Times New Roman" w:hAnsi="Times New Roman" w:cs="Times New Roman"/>
          <w:b/>
        </w:rPr>
        <w:t xml:space="preserve">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32AEFA62" w14:textId="63220119"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HIcrA3CE","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549F6A51"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{"citationID":"TvxMjXxq","properties":{"formattedCitation":"({\\i{}3}, {\\i{}4})","plainCitation":"(3, 4)","noteIndex":0},"citationItems":[{"id":1309,"uris":["http://zotero.org/users/4849625/items/5VQT89E7"],"uri":["http://zotero.org/users/4849625/items/5VQT89E7"],"itemData":{"id":1309,"type":"article-journal","abstract":"The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3</w:t>
      </w:r>
      <w:r w:rsidR="00F45DC0" w:rsidRPr="00F45DC0">
        <w:rPr>
          <w:rFonts w:ascii="Times New Roman" w:hAnsi="Times New Roman" w:cs="Times New Roman"/>
          <w:szCs w:val="24"/>
        </w:rPr>
        <w:t xml:space="preserve">, </w:t>
      </w:r>
      <w:r w:rsidR="00F45DC0" w:rsidRPr="00F45DC0">
        <w:rPr>
          <w:rFonts w:ascii="Times New Roman" w:hAnsi="Times New Roman" w:cs="Times New Roman"/>
          <w:i/>
          <w:iCs/>
          <w:szCs w:val="24"/>
        </w:rPr>
        <w:t>4</w:t>
      </w:r>
      <w:r w:rsidR="00F45DC0" w:rsidRPr="00F45DC0">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4I8Kzg5Q","properties":{"formattedCitation":"({\\i{}5})","plainCitation":"(5)","noteIndex":0},"citationItems":[{"id":"FMnw3zbS/T9IQ0GAF","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5</w:t>
      </w:r>
      <w:r w:rsidR="00F45DC0" w:rsidRPr="00F45DC0">
        <w:rPr>
          <w:rFonts w:ascii="Times New Roman" w:hAnsi="Times New Roman" w:cs="Times New Roman"/>
          <w:szCs w:val="24"/>
        </w:rPr>
        <w:t>)</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77777777"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for the calculation of COVID-19 rates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57A35B48" w14:textId="44484562"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ZHQZpnhg","properties":{"formattedCitation":"({\\i{}6})","plainCitation":"(6)","noteIndex":0},"citationItems":[{"id":"FMnw3zbS/4jGomYCg","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6</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Jmd3ymNB","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28DC7DB9" w14:textId="13B5C203" w:rsidR="00475B79" w:rsidRDefault="00475B79" w:rsidP="00475B79">
      <w:pPr>
        <w:jc w:val="both"/>
        <w:rPr>
          <w:rFonts w:ascii="Times New Roman" w:hAnsi="Times New Roman" w:cs="Times New Roman"/>
        </w:rPr>
      </w:pPr>
      <w:r>
        <w:rPr>
          <w:rFonts w:ascii="Times New Roman" w:hAnsi="Times New Roman" w:cs="Times New Roman"/>
        </w:rPr>
        <w:lastRenderedPageBreak/>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7</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8</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This is the first large-scale, Census based implementation of differential privacy in the history of this methodology and represents a monumental sea-change in population </w:t>
      </w:r>
      <w:r w:rsidR="00336326">
        <w:rPr>
          <w:rFonts w:ascii="Times New Roman" w:hAnsi="Times New Roman" w:cs="Times New Roman"/>
        </w:rPr>
        <w:t>statistics [</w:t>
      </w:r>
      <w:r>
        <w:rPr>
          <w:rFonts w:ascii="Times New Roman" w:hAnsi="Times New Roman" w:cs="Times New Roman"/>
        </w:rPr>
        <w:t>CITE].</w:t>
      </w:r>
    </w:p>
    <w:p w14:paraId="47298DDE" w14:textId="0F94A619" w:rsidR="000631F8" w:rsidRDefault="00897D6B" w:rsidP="007E1F07">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00B5702E" w:rsidRPr="00AA526E">
        <w:rPr>
          <w:rFonts w:ascii="Times New Roman" w:hAnsi="Times New Roman" w:cs="Times New Roman"/>
        </w:rPr>
        <w:t xml:space="preserve"> operates by adding or subtracting random</w:t>
      </w:r>
      <w:r w:rsidR="007700A9">
        <w:rPr>
          <w:rFonts w:ascii="Times New Roman" w:hAnsi="Times New Roman" w:cs="Times New Roman"/>
        </w:rPr>
        <w:t xml:space="preserve"> numerical </w:t>
      </w:r>
      <w:r w:rsidR="004E4319">
        <w:rPr>
          <w:rFonts w:ascii="Times New Roman" w:hAnsi="Times New Roman" w:cs="Times New Roman"/>
        </w:rPr>
        <w:t>values</w:t>
      </w:r>
      <w:r w:rsidR="007700A9">
        <w:rPr>
          <w:rFonts w:ascii="Times New Roman" w:hAnsi="Times New Roman" w:cs="Times New Roman"/>
        </w:rPr>
        <w:t xml:space="preserve"> to “true” population data</w:t>
      </w:r>
      <w:r w:rsidR="004E4319">
        <w:rPr>
          <w:rFonts w:ascii="Times New Roman" w:hAnsi="Times New Roman" w:cs="Times New Roman"/>
        </w:rPr>
        <w:t xml:space="preserve">, </w:t>
      </w:r>
      <w:r w:rsidR="00DE6002">
        <w:rPr>
          <w:rFonts w:ascii="Times New Roman" w:hAnsi="Times New Roman" w:cs="Times New Roman"/>
        </w:rPr>
        <w:t>under</w:t>
      </w:r>
      <w:r w:rsidR="004E4319">
        <w:rPr>
          <w:rFonts w:ascii="Times New Roman" w:hAnsi="Times New Roman" w:cs="Times New Roman"/>
        </w:rPr>
        <w:t xml:space="preserve"> a specific privacy budget</w:t>
      </w:r>
      <w:r w:rsidR="00B5702E" w:rsidRPr="004E2D6B">
        <w:rPr>
          <w:rFonts w:ascii="Times New Roman" w:hAnsi="Times New Roman" w:cs="Times New Roman"/>
        </w:rPr>
        <w:t xml:space="preserve">. </w:t>
      </w:r>
      <w:r w:rsidR="008C6277">
        <w:rPr>
          <w:rFonts w:ascii="Times New Roman" w:hAnsi="Times New Roman" w:cs="Times New Roman"/>
        </w:rPr>
        <w:t>To</w:t>
      </w:r>
      <w:r w:rsidR="00AA526E" w:rsidRPr="004E2D6B">
        <w:rPr>
          <w:rFonts w:ascii="Times New Roman" w:hAnsi="Times New Roman" w:cs="Times New Roman"/>
        </w:rPr>
        <w:t xml:space="preserve"> illustrate how DP alters</w:t>
      </w:r>
      <w:r w:rsidR="004E2D6B" w:rsidRPr="004E2D6B">
        <w:rPr>
          <w:rFonts w:ascii="Times New Roman" w:hAnsi="Times New Roman" w:cs="Times New Roman"/>
        </w:rPr>
        <w:t xml:space="preserve"> population counts</w:t>
      </w:r>
      <w:r w:rsidR="008C6277">
        <w:rPr>
          <w:rFonts w:ascii="Times New Roman" w:hAnsi="Times New Roman" w:cs="Times New Roman"/>
        </w:rPr>
        <w:t>,</w:t>
      </w:r>
      <w:r w:rsidR="004E2D6B" w:rsidRPr="004E2D6B">
        <w:rPr>
          <w:rFonts w:ascii="Times New Roman" w:hAnsi="Times New Roman" w:cs="Times New Roman"/>
        </w:rPr>
        <w:t xml:space="preserve"> </w:t>
      </w:r>
      <w:r w:rsidR="00B5702E" w:rsidRPr="00B75D71">
        <w:rPr>
          <w:rFonts w:ascii="Times New Roman" w:hAnsi="Times New Roman" w:cs="Times New Roman"/>
          <w:b/>
          <w:bCs/>
        </w:rPr>
        <w:t>Figure 1</w:t>
      </w:r>
      <w:r w:rsidR="00B5702E" w:rsidRPr="00783A55">
        <w:rPr>
          <w:rFonts w:ascii="Times New Roman" w:hAnsi="Times New Roman" w:cs="Times New Roman"/>
        </w:rPr>
        <w:t xml:space="preserve"> shows age-sex structures </w:t>
      </w:r>
      <w:r w:rsidR="00B5702E">
        <w:rPr>
          <w:rFonts w:ascii="Times New Roman" w:hAnsi="Times New Roman" w:cs="Times New Roman"/>
        </w:rPr>
        <w:t xml:space="preserve">from 2010 population counts (gray pyramids) and </w:t>
      </w:r>
      <w:r w:rsidR="008C6277">
        <w:rPr>
          <w:rFonts w:ascii="Times New Roman" w:hAnsi="Times New Roman" w:cs="Times New Roman"/>
        </w:rPr>
        <w:t>20</w:t>
      </w:r>
      <w:r w:rsidR="00F8230B">
        <w:rPr>
          <w:rFonts w:ascii="Times New Roman" w:hAnsi="Times New Roman" w:cs="Times New Roman"/>
        </w:rPr>
        <w:t xml:space="preserve">10 counts from the DP demonstration product </w:t>
      </w:r>
      <w:r w:rsidR="00B5702E">
        <w:rPr>
          <w:rFonts w:ascii="Times New Roman" w:hAnsi="Times New Roman" w:cs="Times New Roman"/>
        </w:rPr>
        <w:t xml:space="preserve">for six </w:t>
      </w:r>
      <w:r w:rsidR="00E74778">
        <w:rPr>
          <w:rFonts w:ascii="Times New Roman" w:hAnsi="Times New Roman" w:cs="Times New Roman"/>
        </w:rPr>
        <w:t xml:space="preserve">sample US </w:t>
      </w:r>
      <w:r w:rsidR="00B5702E">
        <w:rPr>
          <w:rFonts w:ascii="Times New Roman" w:hAnsi="Times New Roman" w:cs="Times New Roman"/>
        </w:rPr>
        <w:t xml:space="preserve">counties (in red). </w:t>
      </w:r>
      <w:r w:rsidR="00761DDB">
        <w:rPr>
          <w:rFonts w:ascii="Times New Roman" w:hAnsi="Times New Roman" w:cs="Times New Roman"/>
        </w:rPr>
        <w:t>For some count</w:t>
      </w:r>
      <w:r w:rsidR="000826C9">
        <w:rPr>
          <w:rFonts w:ascii="Times New Roman" w:hAnsi="Times New Roman" w:cs="Times New Roman"/>
        </w:rPr>
        <w:t xml:space="preserve">y age-sex groups, </w:t>
      </w:r>
      <w:r w:rsidR="00B5702E">
        <w:rPr>
          <w:rFonts w:ascii="Times New Roman" w:hAnsi="Times New Roman" w:cs="Times New Roman"/>
        </w:rPr>
        <w:t xml:space="preserve">the changes in age-sex structure </w:t>
      </w:r>
      <w:r w:rsidR="004D0ABB">
        <w:rPr>
          <w:rFonts w:ascii="Times New Roman" w:hAnsi="Times New Roman" w:cs="Times New Roman"/>
        </w:rPr>
        <w:t>are</w:t>
      </w:r>
      <w:r w:rsidR="00B5702E">
        <w:rPr>
          <w:rFonts w:ascii="Times New Roman" w:hAnsi="Times New Roman" w:cs="Times New Roman"/>
        </w:rPr>
        <w:t xml:space="preserve"> negligible or marginal</w:t>
      </w:r>
      <w:r w:rsidR="004D0ABB">
        <w:rPr>
          <w:rFonts w:ascii="Times New Roman" w:hAnsi="Times New Roman" w:cs="Times New Roman"/>
        </w:rPr>
        <w:t>.</w:t>
      </w:r>
      <w:r w:rsidR="00B5702E">
        <w:rPr>
          <w:rFonts w:ascii="Times New Roman" w:hAnsi="Times New Roman" w:cs="Times New Roman"/>
        </w:rPr>
        <w:t xml:space="preserve"> </w:t>
      </w:r>
      <w:r w:rsidR="000826C9">
        <w:rPr>
          <w:rFonts w:ascii="Times New Roman" w:hAnsi="Times New Roman" w:cs="Times New Roman"/>
        </w:rPr>
        <w:t>Some counties, h</w:t>
      </w:r>
      <w:r w:rsidR="00911339" w:rsidRPr="00911339">
        <w:rPr>
          <w:rFonts w:ascii="Times New Roman" w:hAnsi="Times New Roman" w:cs="Times New Roman"/>
        </w:rPr>
        <w:t>owever,</w:t>
      </w:r>
      <w:r w:rsidR="00F8230B">
        <w:rPr>
          <w:rFonts w:ascii="Times New Roman" w:hAnsi="Times New Roman" w:cs="Times New Roman"/>
        </w:rPr>
        <w:t xml:space="preserve"> show either one age-sex category or the entire pyramid</w:t>
      </w:r>
      <w:r w:rsidR="00B5702E">
        <w:rPr>
          <w:rFonts w:ascii="Times New Roman" w:hAnsi="Times New Roman" w:cs="Times New Roman"/>
        </w:rPr>
        <w:t xml:space="preserve"> substantially altered</w:t>
      </w:r>
      <w:r w:rsidR="000826C9">
        <w:rPr>
          <w:rFonts w:ascii="Times New Roman" w:hAnsi="Times New Roman" w:cs="Times New Roman"/>
        </w:rPr>
        <w:t xml:space="preserve"> by DP</w:t>
      </w:r>
      <w:r w:rsidR="00B5702E">
        <w:rPr>
          <w:rFonts w:ascii="Times New Roman" w:hAnsi="Times New Roman" w:cs="Times New Roman"/>
        </w:rPr>
        <w:t>.</w:t>
      </w:r>
      <w:r w:rsidR="00911339">
        <w:rPr>
          <w:rFonts w:ascii="Times New Roman" w:hAnsi="Times New Roman" w:cs="Times New Roman"/>
        </w:rPr>
        <w:t xml:space="preserve"> </w:t>
      </w:r>
      <w:r w:rsidR="00F8230B">
        <w:rPr>
          <w:rFonts w:ascii="Times New Roman" w:hAnsi="Times New Roman" w:cs="Times New Roman"/>
        </w:rPr>
        <w:t>The differences between the</w:t>
      </w:r>
      <w:r w:rsidR="00F7299B">
        <w:rPr>
          <w:rFonts w:ascii="Times New Roman" w:hAnsi="Times New Roman" w:cs="Times New Roman"/>
        </w:rPr>
        <w:t xml:space="preserve"> underlying, “true” population counts </w:t>
      </w:r>
      <w:r w:rsidR="000826C9">
        <w:rPr>
          <w:rFonts w:ascii="Times New Roman" w:hAnsi="Times New Roman" w:cs="Times New Roman"/>
        </w:rPr>
        <w:t xml:space="preserve">in the Census Summary File </w:t>
      </w:r>
      <w:r w:rsidR="00F7299B">
        <w:rPr>
          <w:rFonts w:ascii="Times New Roman" w:hAnsi="Times New Roman" w:cs="Times New Roman"/>
        </w:rPr>
        <w:t>and the noise-infused</w:t>
      </w:r>
      <w:r w:rsidR="000826C9">
        <w:rPr>
          <w:rFonts w:ascii="Times New Roman" w:hAnsi="Times New Roman" w:cs="Times New Roman"/>
        </w:rPr>
        <w:t xml:space="preserve"> DP</w:t>
      </w:r>
      <w:r w:rsidR="00F7299B">
        <w:rPr>
          <w:rFonts w:ascii="Times New Roman" w:hAnsi="Times New Roman" w:cs="Times New Roman"/>
        </w:rPr>
        <w:t xml:space="preserve"> counts could lead to substantial over/</w:t>
      </w:r>
      <w:r w:rsidR="00B50C1C">
        <w:rPr>
          <w:rFonts w:ascii="Times New Roman" w:hAnsi="Times New Roman" w:cs="Times New Roman"/>
        </w:rPr>
        <w:t xml:space="preserve">under </w:t>
      </w:r>
      <w:r w:rsidR="00A81B74">
        <w:rPr>
          <w:rFonts w:ascii="Times New Roman" w:hAnsi="Times New Roman" w:cs="Times New Roman"/>
        </w:rPr>
        <w:t>estimation</w:t>
      </w:r>
      <w:r w:rsidR="00F7299B">
        <w:rPr>
          <w:rFonts w:ascii="Times New Roman" w:hAnsi="Times New Roman" w:cs="Times New Roman"/>
        </w:rPr>
        <w:t xml:space="preserve"> of COVID-19 rates, dependent on the</w:t>
      </w:r>
      <w:r w:rsidR="00212E79">
        <w:rPr>
          <w:rFonts w:ascii="Times New Roman" w:hAnsi="Times New Roman" w:cs="Times New Roman"/>
        </w:rPr>
        <w:t xml:space="preserve"> divergence between the two.</w:t>
      </w:r>
    </w:p>
    <w:p w14:paraId="7BEDCCA2" w14:textId="0A828109"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E3E7919" w:rsidR="00F17405" w:rsidRPr="000235F9" w:rsidRDefault="00007DE8" w:rsidP="006A601B">
      <w:pPr>
        <w:jc w:val="both"/>
        <w:rPr>
          <w:rFonts w:ascii="Times New Roman" w:hAnsi="Times New Roman" w:cs="Times New Roman"/>
        </w:rPr>
      </w:pPr>
      <w:r>
        <w:rPr>
          <w:rFonts w:ascii="Times New Roman" w:hAnsi="Times New Roman" w:cs="Times New Roman"/>
        </w:rPr>
        <w:t xml:space="preserve">The </w:t>
      </w:r>
      <w:r w:rsidR="00A920B4">
        <w:rPr>
          <w:rFonts w:ascii="Times New Roman" w:hAnsi="Times New Roman" w:cs="Times New Roman"/>
        </w:rPr>
        <w:t>distortion</w:t>
      </w:r>
      <w:r>
        <w:rPr>
          <w:rFonts w:ascii="Times New Roman" w:hAnsi="Times New Roman" w:cs="Times New Roman"/>
        </w:rPr>
        <w:t xml:space="preserve"> in COVID-19 rates</w:t>
      </w:r>
      <w:r w:rsidR="00A920B4">
        <w:rPr>
          <w:rFonts w:ascii="Times New Roman" w:hAnsi="Times New Roman" w:cs="Times New Roman"/>
        </w:rPr>
        <w:t xml:space="preserve"> is not limited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w:t>
      </w:r>
      <w:r>
        <w:rPr>
          <w:rFonts w:ascii="Times New Roman" w:hAnsi="Times New Roman" w:cs="Times New Roman"/>
          <w:b/>
          <w:bCs/>
        </w:rPr>
        <w:t xml:space="preserve"> </w:t>
      </w: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GdbR7GUe","properties":{"formattedCitation":"({\\i{}9})","plainCitation":"(9)","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9</w:t>
      </w:r>
      <w:r w:rsidR="00F45DC0" w:rsidRPr="00F45DC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15FF4ADD"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458B863E" w14:textId="49C90EFC" w:rsidR="00B12CA3" w:rsidRPr="00D90955" w:rsidRDefault="00B12CA3" w:rsidP="00B12CA3">
      <w:pPr>
        <w:jc w:val="both"/>
        <w:rPr>
          <w:rFonts w:ascii="Times New Roman" w:eastAsia="Times New Roman" w:hAnsi="Times New Roman" w:cs="Times New Roman"/>
        </w:rPr>
      </w:pPr>
      <w:r w:rsidRPr="00D90955">
        <w:rPr>
          <w:rFonts w:ascii="Times New Roman" w:eastAsia="Times New Roman" w:hAnsi="Times New Roman" w:cs="Times New Roman"/>
        </w:rPr>
        <w:lastRenderedPageBreak/>
        <w:t>The Census Bureau’s demonstration product currently only contains age-sex-county and race-county breakdowns and does not contain age-sex-race-county. Yet race differentials in COVID mortality are an important aspect of the pandemic</w:t>
      </w:r>
      <w:r w:rsidR="00D87D3F" w:rsidRPr="00D90955">
        <w:rPr>
          <w:rFonts w:ascii="Times New Roman" w:eastAsia="Times New Roman" w:hAnsi="Times New Roman" w:cs="Times New Roman"/>
        </w:rPr>
        <w:t xml:space="preserve"> </w:t>
      </w:r>
      <w:r w:rsidR="00D87D3F" w:rsidRPr="00D90955">
        <w:rPr>
          <w:rFonts w:ascii="Times New Roman" w:eastAsia="Times New Roman" w:hAnsi="Times New Roman" w:cs="Times New Roman"/>
        </w:rPr>
        <w:fldChar w:fldCharType="begin"/>
      </w:r>
      <w:r w:rsidR="00F45DC0">
        <w:rPr>
          <w:rFonts w:ascii="Times New Roman" w:eastAsia="Times New Roman" w:hAnsi="Times New Roman" w:cs="Times New Roman"/>
        </w:rPr>
        <w:instrText xml:space="preserve"> ADDIN ZOTERO_ITEM CSL_CITATION {"citationID":"vjPtkJlC","properties":{"formattedCitation":"({\\i{}10})","plainCitation":"(10)","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00D87D3F" w:rsidRPr="00D90955">
        <w:rPr>
          <w:rFonts w:ascii="Times New Roman" w:eastAsia="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10</w:t>
      </w:r>
      <w:r w:rsidR="00F45DC0" w:rsidRPr="00F45DC0">
        <w:rPr>
          <w:rFonts w:ascii="Times New Roman" w:hAnsi="Times New Roman" w:cs="Times New Roman"/>
          <w:szCs w:val="24"/>
        </w:rPr>
        <w:t>)</w:t>
      </w:r>
      <w:r w:rsidR="00D87D3F" w:rsidRPr="00D90955">
        <w:rPr>
          <w:rFonts w:ascii="Times New Roman" w:eastAsia="Times New Roman" w:hAnsi="Times New Roman" w:cs="Times New Roman"/>
        </w:rPr>
        <w:fldChar w:fldCharType="end"/>
      </w:r>
      <w:r w:rsidR="00D87D3F" w:rsidRPr="00D90955">
        <w:rPr>
          <w:rFonts w:ascii="Times New Roman" w:eastAsia="Times New Roman" w:hAnsi="Times New Roman" w:cs="Times New Roman"/>
        </w:rPr>
        <w:t xml:space="preserve">. </w:t>
      </w:r>
      <w:r w:rsidRPr="00D90955">
        <w:rPr>
          <w:rFonts w:ascii="Times New Roman" w:eastAsia="Times New Roman" w:hAnsi="Times New Roman" w:cs="Times New Roman"/>
        </w:rPr>
        <w:t xml:space="preserve">The potential errors in COVID mortality by age and sex are already significantly large and we believe analyzing COVID mortality by age-sex-race would further </w:t>
      </w:r>
      <w:r w:rsidR="00D87D3F" w:rsidRPr="00D90955">
        <w:rPr>
          <w:rFonts w:ascii="Times New Roman" w:eastAsia="Times New Roman" w:hAnsi="Times New Roman" w:cs="Times New Roman"/>
        </w:rPr>
        <w:t>reduce</w:t>
      </w:r>
      <w:r w:rsidRPr="00D90955">
        <w:rPr>
          <w:rFonts w:ascii="Times New Roman" w:eastAsia="Times New Roman" w:hAnsi="Times New Roman" w:cs="Times New Roman"/>
        </w:rPr>
        <w:t xml:space="preserve"> cell sizes, ensuring an eve</w:t>
      </w:r>
      <w:r w:rsidR="00893483" w:rsidRPr="00D90955">
        <w:rPr>
          <w:rFonts w:ascii="Times New Roman" w:eastAsia="Times New Roman" w:hAnsi="Times New Roman" w:cs="Times New Roman"/>
        </w:rPr>
        <w:t>n</w:t>
      </w:r>
      <w:r w:rsidRPr="00D90955">
        <w:rPr>
          <w:rFonts w:ascii="Times New Roman" w:eastAsia="Times New Roman" w:hAnsi="Times New Roman" w:cs="Times New Roman"/>
        </w:rPr>
        <w:t xml:space="preserve"> greater number of combinations with fewer than 1000 persons – the identified threshold with the largest errors. How are we to understand this pandemic if the very foundation upon which we calculate the most basic rates </w:t>
      </w:r>
      <w:r w:rsidR="00D90955" w:rsidRPr="00D90955">
        <w:rPr>
          <w:rFonts w:ascii="Times New Roman" w:eastAsia="Times New Roman" w:hAnsi="Times New Roman" w:cs="Times New Roman"/>
        </w:rPr>
        <w:t>contain significant</w:t>
      </w:r>
      <w:r w:rsidRPr="00D90955">
        <w:rPr>
          <w:rFonts w:ascii="Times New Roman" w:eastAsia="Times New Roman" w:hAnsi="Times New Roman" w:cs="Times New Roman"/>
        </w:rPr>
        <w:t xml:space="preserve"> error</w:t>
      </w:r>
      <w:r w:rsidR="00D90955" w:rsidRPr="00D90955">
        <w:rPr>
          <w:rFonts w:ascii="Times New Roman" w:eastAsia="Times New Roman" w:hAnsi="Times New Roman" w:cs="Times New Roman"/>
        </w:rPr>
        <w:t>s</w:t>
      </w:r>
      <w:r w:rsidRPr="00D90955">
        <w:rPr>
          <w:rFonts w:ascii="Times New Roman" w:eastAsia="Times New Roman" w:hAnsi="Times New Roman" w:cs="Times New Roman"/>
        </w:rPr>
        <w:t>?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w:t>
      </w:r>
      <w:r w:rsidR="00292896">
        <w:rPr>
          <w:rFonts w:ascii="Times New Roman" w:eastAsia="Times New Roman" w:hAnsi="Times New Roman" w:cs="Times New Roman"/>
        </w:rPr>
        <w:t>, navigating this error with little, if any, guidance.</w:t>
      </w:r>
      <w:r w:rsidRPr="00D90955">
        <w:rPr>
          <w:rFonts w:ascii="Times New Roman" w:eastAsia="Times New Roman" w:hAnsi="Times New Roman" w:cs="Times New Roman"/>
        </w:rPr>
        <w:t xml:space="preserve"> </w:t>
      </w:r>
      <w:r w:rsidR="00BB19E2" w:rsidRPr="00D90955">
        <w:rPr>
          <w:rFonts w:ascii="Times New Roman" w:eastAsia="Times New Roman" w:hAnsi="Times New Roman" w:cs="Times New Roman"/>
        </w:rPr>
        <w:t>The Census Bureau should publish suggested guidance on using DP data far in advance of the release of DP products to minimize their disruption.</w:t>
      </w:r>
    </w:p>
    <w:p w14:paraId="52260963" w14:textId="7E1311A8"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D90955">
        <w:rPr>
          <w:rFonts w:ascii="Times New Roman" w:eastAsia="Times New Roman" w:hAnsi="Times New Roman" w:cs="Times New Roman"/>
          <w:sz w:val="24"/>
          <w:szCs w:val="24"/>
        </w:rPr>
        <w:t>those</w:t>
      </w:r>
      <w:r w:rsidR="00C00935">
        <w:rPr>
          <w:rFonts w:ascii="Times New Roman" w:eastAsia="Times New Roman" w:hAnsi="Times New Roman" w:cs="Times New Roman"/>
          <w:sz w:val="24"/>
          <w:szCs w:val="24"/>
        </w:rPr>
        <w:t xml:space="preserve"> calculating COVID-19 rates.</w:t>
      </w:r>
    </w:p>
    <w:p w14:paraId="0C79634F" w14:textId="2EB300D2"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xd1Iqfg6","properties":{"formattedCitation":"({\\i{}11})","plainCitation":"(11)","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11</w:t>
      </w:r>
      <w:r w:rsidR="00F45DC0" w:rsidRPr="00F45DC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4C6B3C">
        <w:rPr>
          <w:rFonts w:ascii="Times New Roman" w:hAnsi="Times New Roman" w:cs="Times New Roman"/>
        </w:rPr>
        <w:instrText xml:space="preserve"> ADDIN ZOTERO_ITEM CSL_CITATION {"citationID":"Y9CgVSWJ","properties":{"formattedCitation":"({\\i{}12})","plainCitation":"(12)","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4C6B3C" w:rsidRPr="004C6B3C">
        <w:rPr>
          <w:rFonts w:ascii="Times New Roman" w:hAnsi="Times New Roman" w:cs="Times New Roman"/>
          <w:szCs w:val="24"/>
        </w:rPr>
        <w:t>(</w:t>
      </w:r>
      <w:r w:rsidR="004C6B3C" w:rsidRPr="004C6B3C">
        <w:rPr>
          <w:rFonts w:ascii="Times New Roman" w:hAnsi="Times New Roman" w:cs="Times New Roman"/>
          <w:i/>
          <w:iCs/>
          <w:szCs w:val="24"/>
        </w:rPr>
        <w:t>12</w:t>
      </w:r>
      <w:r w:rsidR="004C6B3C" w:rsidRPr="004C6B3C">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892FFA">
        <w:rPr>
          <w:rFonts w:ascii="Times New Roman" w:hAnsi="Times New Roman" w:cs="Times New Roman"/>
        </w:rPr>
        <w:t>As currently proposed, the DP algorithm sacrifices the usefulness of basic COVID-19 calculations in most counties.</w:t>
      </w:r>
    </w:p>
    <w:p w14:paraId="5A9510BA" w14:textId="79022454"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r w:rsidR="00D670C5">
        <w:rPr>
          <w:rFonts w:ascii="Times New Roman" w:hAnsi="Times New Roman" w:cs="Times New Roman"/>
        </w:rPr>
        <w:t xml:space="preserve">Otherwise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195C7D3D" w:rsidR="00E7292D" w:rsidRPr="00D90955" w:rsidRDefault="008A30DB" w:rsidP="00E7292D">
      <w:pPr>
        <w:jc w:val="both"/>
        <w:rPr>
          <w:rFonts w:ascii="Times New Roman" w:eastAsia="Times New Roman" w:hAnsi="Times New Roman" w:cs="Times New Roman"/>
        </w:rPr>
      </w:pPr>
      <w:r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injection of noise in the very building blocks of COVID-19 rates. The US Census Bureau should consider alterative datasets</w:t>
      </w:r>
      <w:r w:rsidR="00FB1B69">
        <w:rPr>
          <w:rFonts w:ascii="Times New Roman" w:eastAsia="Times New Roman" w:hAnsi="Times New Roman" w:cs="Times New Roman"/>
        </w:rPr>
        <w:t>,</w:t>
      </w:r>
      <w:r w:rsidR="00E7292D" w:rsidRPr="00D90955">
        <w:rPr>
          <w:rFonts w:ascii="Times New Roman" w:eastAsia="Times New Roman" w:hAnsi="Times New Roman" w:cs="Times New Roman"/>
        </w:rPr>
        <w:t xml:space="preserve"> alternative disclosure avoidance systems</w:t>
      </w:r>
      <w:r w:rsidR="00FB1B69">
        <w:rPr>
          <w:rFonts w:ascii="Times New Roman" w:eastAsia="Times New Roman" w:hAnsi="Times New Roman" w:cs="Times New Roman"/>
        </w:rPr>
        <w:t xml:space="preserve">, or </w:t>
      </w:r>
      <w:r w:rsidR="00BD5B21">
        <w:rPr>
          <w:rFonts w:ascii="Times New Roman" w:eastAsia="Times New Roman" w:hAnsi="Times New Roman" w:cs="Times New Roman"/>
        </w:rPr>
        <w:t xml:space="preserve">a larger </w:t>
      </w:r>
      <w:r w:rsidR="00FB1B69">
        <w:rPr>
          <w:rFonts w:ascii="Times New Roman" w:eastAsia="Times New Roman" w:hAnsi="Times New Roman" w:cs="Times New Roman"/>
        </w:rPr>
        <w:t>privacy budget</w:t>
      </w:r>
      <w:r w:rsidR="00E7292D" w:rsidRPr="00D90955">
        <w:rPr>
          <w:rFonts w:ascii="Times New Roman" w:eastAsia="Times New Roman" w:hAnsi="Times New Roman" w:cs="Times New Roman"/>
        </w:rPr>
        <w:t xml:space="preserve"> during this historical pandemic.</w:t>
      </w:r>
      <w:r w:rsidR="00C26A41"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sidR="00BD5B21">
        <w:rPr>
          <w:rFonts w:ascii="Times New Roman" w:hAnsi="Times New Roman" w:cs="Times New Roman"/>
        </w:rPr>
        <w:t xml:space="preserve">DP </w:t>
      </w:r>
      <w:r w:rsidR="00C26A41" w:rsidRPr="00D90955">
        <w:rPr>
          <w:rFonts w:ascii="Times New Roman" w:hAnsi="Times New Roman" w:cs="Times New Roman"/>
        </w:rPr>
        <w:t>will certainly distort.</w:t>
      </w:r>
    </w:p>
    <w:p w14:paraId="5B4B3AEE" w14:textId="083AC4D1"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w:t>
      </w:r>
      <w:r w:rsidR="007A3D96" w:rsidRPr="00D90955">
        <w:rPr>
          <w:rFonts w:ascii="Times New Roman" w:eastAsia="Times New Roman" w:hAnsi="Times New Roman" w:cs="Times New Roman"/>
        </w:rPr>
        <w:lastRenderedPageBreak/>
        <w:t>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(fatality, incidence, and prevalence). </w:t>
      </w:r>
      <w:r w:rsidR="003542AB" w:rsidRPr="00D90955">
        <w:rPr>
          <w:rFonts w:ascii="Times New Roman" w:eastAsia="Times New Roman" w:hAnsi="Times New Roman" w:cs="Times New Roman"/>
        </w:rPr>
        <w:t xml:space="preserve">COVID-19 rates rapidly approach acceptable error rates as population sizes get 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(ie 20-year age intervals rather than 10-year age intervals) or wider race classifications (ie using OMB’s 2, 4, or 5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uncertainty in COVID-19 rate calculations.</w:t>
      </w:r>
    </w:p>
    <w:p w14:paraId="69AD8ED0" w14:textId="55BC50F1"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minimum standards for COVID-19 analyses using Census 2020 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5E11E7">
        <w:rPr>
          <w:rFonts w:ascii="Times New Roman" w:eastAsia="Times New Roman" w:hAnsi="Times New Roman" w:cs="Times New Roman"/>
        </w:rPr>
        <w:instrText xml:space="preserve"> ADDIN ZOTERO_ITEM CSL_CITATION {"citationID":"6bf0DJSP","properties":{"formattedCitation":"({\\i{}13}, {\\i{}14})","plainCitation":"(13, 14)","noteIndex":0},"citationItems":[{"id":1354,"uris":["http://zotero.org/users/4849625/items/ZU2YNH5C"],"uri":["http://zotero.org/users/4849625/items/ZU2YNH5C"],"itemData":{"id":1354,"type":"article-newspaper","abstract":"New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5E11E7" w:rsidRPr="005E11E7">
        <w:rPr>
          <w:rFonts w:ascii="Times New Roman" w:hAnsi="Times New Roman" w:cs="Times New Roman"/>
          <w:szCs w:val="24"/>
        </w:rPr>
        <w:t>(</w:t>
      </w:r>
      <w:r w:rsidR="005E11E7" w:rsidRPr="005E11E7">
        <w:rPr>
          <w:rFonts w:ascii="Times New Roman" w:hAnsi="Times New Roman" w:cs="Times New Roman"/>
          <w:i/>
          <w:iCs/>
          <w:szCs w:val="24"/>
        </w:rPr>
        <w:t>13</w:t>
      </w:r>
      <w:r w:rsidR="005E11E7" w:rsidRPr="005E11E7">
        <w:rPr>
          <w:rFonts w:ascii="Times New Roman" w:hAnsi="Times New Roman" w:cs="Times New Roman"/>
          <w:szCs w:val="24"/>
        </w:rPr>
        <w:t xml:space="preserve">, </w:t>
      </w:r>
      <w:r w:rsidR="005E11E7" w:rsidRPr="005E11E7">
        <w:rPr>
          <w:rFonts w:ascii="Times New Roman" w:hAnsi="Times New Roman" w:cs="Times New Roman"/>
          <w:i/>
          <w:iCs/>
          <w:szCs w:val="24"/>
        </w:rPr>
        <w:t>14</w:t>
      </w:r>
      <w:r w:rsidR="005E11E7" w:rsidRPr="005E11E7">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are of the highest possible fidelity.</w:t>
      </w: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38D73360" w14:textId="77777777" w:rsidR="00805785" w:rsidRDefault="00805785">
      <w:pPr>
        <w:rPr>
          <w:rFonts w:ascii="Times New Roman" w:hAnsi="Times New Roman" w:cs="Times New Roman"/>
          <w:b/>
        </w:rPr>
      </w:pPr>
    </w:p>
    <w:p w14:paraId="54B0F0EF" w14:textId="2990F36C"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7448673F" w14:textId="77777777" w:rsidR="00924A5F" w:rsidRPr="00924A5F" w:rsidRDefault="00B658B8" w:rsidP="00924A5F">
      <w:pPr>
        <w:pStyle w:val="Bibliography"/>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924A5F" w:rsidRPr="00924A5F">
        <w:rPr>
          <w:rFonts w:ascii="Times New Roman" w:hAnsi="Times New Roman" w:cs="Times New Roman"/>
        </w:rPr>
        <w:t xml:space="preserve">1. </w:t>
      </w:r>
      <w:r w:rsidR="00924A5F" w:rsidRPr="00924A5F">
        <w:rPr>
          <w:rFonts w:ascii="Times New Roman" w:hAnsi="Times New Roman" w:cs="Times New Roman"/>
        </w:rPr>
        <w:tab/>
        <w:t xml:space="preserve">R. K. Wadhera, P. Wadhera, P. Gaba, J. F. Figueroa, K. E. J. Maddox, R. W. Yeh, C. Shen, Variation in COVID-19 hospitalizations and deaths across New York City boroughs. </w:t>
      </w:r>
      <w:r w:rsidR="00924A5F" w:rsidRPr="00924A5F">
        <w:rPr>
          <w:rFonts w:ascii="Times New Roman" w:hAnsi="Times New Roman" w:cs="Times New Roman"/>
          <w:i/>
          <w:iCs/>
        </w:rPr>
        <w:t>Jama</w:t>
      </w:r>
      <w:r w:rsidR="00924A5F" w:rsidRPr="00924A5F">
        <w:rPr>
          <w:rFonts w:ascii="Times New Roman" w:hAnsi="Times New Roman" w:cs="Times New Roman"/>
        </w:rPr>
        <w:t xml:space="preserve"> (2020).</w:t>
      </w:r>
    </w:p>
    <w:p w14:paraId="18ADCA69"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2. </w:t>
      </w:r>
      <w:r w:rsidRPr="00924A5F">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924A5F">
        <w:rPr>
          <w:rFonts w:ascii="Times New Roman" w:hAnsi="Times New Roman" w:cs="Times New Roman"/>
          <w:i/>
          <w:iCs/>
        </w:rPr>
        <w:t>Proc. Natl. Acad. Sci. U. S. A.</w:t>
      </w:r>
      <w:r w:rsidRPr="00924A5F">
        <w:rPr>
          <w:rFonts w:ascii="Times New Roman" w:hAnsi="Times New Roman" w:cs="Times New Roman"/>
        </w:rPr>
        <w:t xml:space="preserve"> </w:t>
      </w:r>
      <w:r w:rsidRPr="00924A5F">
        <w:rPr>
          <w:rFonts w:ascii="Times New Roman" w:hAnsi="Times New Roman" w:cs="Times New Roman"/>
          <w:b/>
          <w:bCs/>
        </w:rPr>
        <w:t>117</w:t>
      </w:r>
      <w:r w:rsidRPr="00924A5F">
        <w:rPr>
          <w:rFonts w:ascii="Times New Roman" w:hAnsi="Times New Roman" w:cs="Times New Roman"/>
        </w:rPr>
        <w:t>, 9696–9698 (2020).</w:t>
      </w:r>
    </w:p>
    <w:p w14:paraId="5E3ACE9F"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3. </w:t>
      </w:r>
      <w:r w:rsidRPr="00924A5F">
        <w:rPr>
          <w:rFonts w:ascii="Times New Roman" w:hAnsi="Times New Roman" w:cs="Times New Roman"/>
        </w:rPr>
        <w:tab/>
        <w:t xml:space="preserve">A. Remuzzi, G. Remuzzi, COVID-19 and Italy: what next? </w:t>
      </w:r>
      <w:r w:rsidRPr="00924A5F">
        <w:rPr>
          <w:rFonts w:ascii="Times New Roman" w:hAnsi="Times New Roman" w:cs="Times New Roman"/>
          <w:i/>
          <w:iCs/>
        </w:rPr>
        <w:t>The Lancet</w:t>
      </w:r>
      <w:r w:rsidRPr="00924A5F">
        <w:rPr>
          <w:rFonts w:ascii="Times New Roman" w:hAnsi="Times New Roman" w:cs="Times New Roman"/>
        </w:rPr>
        <w:t xml:space="preserve">. </w:t>
      </w:r>
      <w:r w:rsidRPr="00924A5F">
        <w:rPr>
          <w:rFonts w:ascii="Times New Roman" w:hAnsi="Times New Roman" w:cs="Times New Roman"/>
          <w:b/>
          <w:bCs/>
        </w:rPr>
        <w:t>395</w:t>
      </w:r>
      <w:r w:rsidRPr="00924A5F">
        <w:rPr>
          <w:rFonts w:ascii="Times New Roman" w:hAnsi="Times New Roman" w:cs="Times New Roman"/>
        </w:rPr>
        <w:t>, 1225–1228 (2020).</w:t>
      </w:r>
    </w:p>
    <w:p w14:paraId="1115979C"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4. </w:t>
      </w:r>
      <w:r w:rsidRPr="00924A5F">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924A5F">
        <w:rPr>
          <w:rFonts w:ascii="Times New Roman" w:hAnsi="Times New Roman" w:cs="Times New Roman"/>
          <w:i/>
          <w:iCs/>
        </w:rPr>
        <w:t>The Lancet</w:t>
      </w:r>
      <w:r w:rsidRPr="00924A5F">
        <w:rPr>
          <w:rFonts w:ascii="Times New Roman" w:hAnsi="Times New Roman" w:cs="Times New Roman"/>
        </w:rPr>
        <w:t xml:space="preserve">. </w:t>
      </w:r>
      <w:r w:rsidRPr="00924A5F">
        <w:rPr>
          <w:rFonts w:ascii="Times New Roman" w:hAnsi="Times New Roman" w:cs="Times New Roman"/>
          <w:b/>
          <w:bCs/>
        </w:rPr>
        <w:t>395</w:t>
      </w:r>
      <w:r w:rsidRPr="00924A5F">
        <w:rPr>
          <w:rFonts w:ascii="Times New Roman" w:hAnsi="Times New Roman" w:cs="Times New Roman"/>
        </w:rPr>
        <w:t>, 1715–1725 (2020).</w:t>
      </w:r>
    </w:p>
    <w:p w14:paraId="0465FA17"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5. </w:t>
      </w:r>
      <w:r w:rsidRPr="00924A5F">
        <w:rPr>
          <w:rFonts w:ascii="Times New Roman" w:hAnsi="Times New Roman" w:cs="Times New Roman"/>
        </w:rPr>
        <w:tab/>
        <w:t xml:space="preserve">J. Mervis, Can a set of equations keep U.S. census data private? </w:t>
      </w:r>
      <w:r w:rsidRPr="00924A5F">
        <w:rPr>
          <w:rFonts w:ascii="Times New Roman" w:hAnsi="Times New Roman" w:cs="Times New Roman"/>
          <w:i/>
          <w:iCs/>
        </w:rPr>
        <w:t>Science</w:t>
      </w:r>
      <w:r w:rsidRPr="00924A5F">
        <w:rPr>
          <w:rFonts w:ascii="Times New Roman" w:hAnsi="Times New Roman" w:cs="Times New Roman"/>
        </w:rPr>
        <w:t xml:space="preserve"> (2019), doi:10.1126/science.aaw5470.</w:t>
      </w:r>
    </w:p>
    <w:p w14:paraId="57380398"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6. </w:t>
      </w:r>
      <w:r w:rsidRPr="00924A5F">
        <w:rPr>
          <w:rFonts w:ascii="Times New Roman" w:hAnsi="Times New Roman" w:cs="Times New Roman"/>
        </w:rPr>
        <w:tab/>
        <w:t>National Historical GIS, Differentially Private 2010 Census Data (2019), (available at https://www.nhgis.org/differentially-private-2010-census-data).</w:t>
      </w:r>
    </w:p>
    <w:p w14:paraId="1AEEC3C0"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7. </w:t>
      </w:r>
      <w:r w:rsidRPr="00924A5F">
        <w:rPr>
          <w:rFonts w:ascii="Times New Roman" w:hAnsi="Times New Roman" w:cs="Times New Roman"/>
        </w:rPr>
        <w:tab/>
        <w:t xml:space="preserve">L. Zayatz, Disclosure avoidance practices and research at the US Census Bureau: An update. </w:t>
      </w:r>
      <w:r w:rsidRPr="00924A5F">
        <w:rPr>
          <w:rFonts w:ascii="Times New Roman" w:hAnsi="Times New Roman" w:cs="Times New Roman"/>
          <w:i/>
          <w:iCs/>
        </w:rPr>
        <w:t>J. Off. Stat.</w:t>
      </w:r>
      <w:r w:rsidRPr="00924A5F">
        <w:rPr>
          <w:rFonts w:ascii="Times New Roman" w:hAnsi="Times New Roman" w:cs="Times New Roman"/>
        </w:rPr>
        <w:t xml:space="preserve"> </w:t>
      </w:r>
      <w:r w:rsidRPr="00924A5F">
        <w:rPr>
          <w:rFonts w:ascii="Times New Roman" w:hAnsi="Times New Roman" w:cs="Times New Roman"/>
          <w:b/>
          <w:bCs/>
        </w:rPr>
        <w:t>23</w:t>
      </w:r>
      <w:r w:rsidRPr="00924A5F">
        <w:rPr>
          <w:rFonts w:ascii="Times New Roman" w:hAnsi="Times New Roman" w:cs="Times New Roman"/>
        </w:rPr>
        <w:t>, 253 (2007).</w:t>
      </w:r>
    </w:p>
    <w:p w14:paraId="54D854F2"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8. </w:t>
      </w:r>
      <w:r w:rsidRPr="00924A5F">
        <w:rPr>
          <w:rFonts w:ascii="Times New Roman" w:hAnsi="Times New Roman" w:cs="Times New Roman"/>
        </w:rPr>
        <w:tab/>
        <w:t xml:space="preserve">S. Ruggles, C. Fitch, D. Magnuson, J. Schroeder, in </w:t>
      </w:r>
      <w:r w:rsidRPr="00924A5F">
        <w:rPr>
          <w:rFonts w:ascii="Times New Roman" w:hAnsi="Times New Roman" w:cs="Times New Roman"/>
          <w:i/>
          <w:iCs/>
        </w:rPr>
        <w:t>AEA papers and proceedings</w:t>
      </w:r>
      <w:r w:rsidRPr="00924A5F">
        <w:rPr>
          <w:rFonts w:ascii="Times New Roman" w:hAnsi="Times New Roman" w:cs="Times New Roman"/>
        </w:rPr>
        <w:t xml:space="preserve"> (2019), vol. 109, pp. 403–08.</w:t>
      </w:r>
    </w:p>
    <w:p w14:paraId="0A3FAA99"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9. </w:t>
      </w:r>
      <w:r w:rsidRPr="00924A5F">
        <w:rPr>
          <w:rFonts w:ascii="Times New Roman" w:hAnsi="Times New Roman" w:cs="Times New Roman"/>
        </w:rPr>
        <w:tab/>
        <w:t xml:space="preserve">A. R. Santos-Lozada, J. T. Howard, A. M. Verdery, How differential privacy will affect our understanding of health disparities in the United States. </w:t>
      </w:r>
      <w:r w:rsidRPr="00924A5F">
        <w:rPr>
          <w:rFonts w:ascii="Times New Roman" w:hAnsi="Times New Roman" w:cs="Times New Roman"/>
          <w:i/>
          <w:iCs/>
        </w:rPr>
        <w:t>Proc. Natl. Acad. Sci.</w:t>
      </w:r>
      <w:r w:rsidRPr="00924A5F">
        <w:rPr>
          <w:rFonts w:ascii="Times New Roman" w:hAnsi="Times New Roman" w:cs="Times New Roman"/>
        </w:rPr>
        <w:t xml:space="preserve"> (2020), doi:10.1073/pnas.2003714117.</w:t>
      </w:r>
    </w:p>
    <w:p w14:paraId="47806B86"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10. </w:t>
      </w:r>
      <w:r w:rsidRPr="00924A5F">
        <w:rPr>
          <w:rFonts w:ascii="Times New Roman" w:hAnsi="Times New Roman" w:cs="Times New Roman"/>
        </w:rPr>
        <w:tab/>
        <w:t xml:space="preserve">M. W. Hooper, A. M. Nápoles, E. J. Pérez-Stable, COVID-19 and racial/ethnic disparities. </w:t>
      </w:r>
      <w:r w:rsidRPr="00924A5F">
        <w:rPr>
          <w:rFonts w:ascii="Times New Roman" w:hAnsi="Times New Roman" w:cs="Times New Roman"/>
          <w:i/>
          <w:iCs/>
        </w:rPr>
        <w:t>Jama</w:t>
      </w:r>
      <w:r w:rsidRPr="00924A5F">
        <w:rPr>
          <w:rFonts w:ascii="Times New Roman" w:hAnsi="Times New Roman" w:cs="Times New Roman"/>
        </w:rPr>
        <w:t xml:space="preserve"> (2020).</w:t>
      </w:r>
    </w:p>
    <w:p w14:paraId="24A9D982"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11. </w:t>
      </w:r>
      <w:r w:rsidRPr="00924A5F">
        <w:rPr>
          <w:rFonts w:ascii="Times New Roman" w:hAnsi="Times New Roman" w:cs="Times New Roman"/>
        </w:rPr>
        <w:tab/>
        <w:t xml:space="preserve">J. M. Abowd, I. M. Schmutte, An Economic Analysis of Privacy Protection and Statistical Accuracy as Social Choices. </w:t>
      </w:r>
      <w:r w:rsidRPr="00924A5F">
        <w:rPr>
          <w:rFonts w:ascii="Times New Roman" w:hAnsi="Times New Roman" w:cs="Times New Roman"/>
          <w:i/>
          <w:iCs/>
        </w:rPr>
        <w:t>Am. Econ. Rev.</w:t>
      </w:r>
      <w:r w:rsidRPr="00924A5F">
        <w:rPr>
          <w:rFonts w:ascii="Times New Roman" w:hAnsi="Times New Roman" w:cs="Times New Roman"/>
        </w:rPr>
        <w:t xml:space="preserve"> </w:t>
      </w:r>
      <w:r w:rsidRPr="00924A5F">
        <w:rPr>
          <w:rFonts w:ascii="Times New Roman" w:hAnsi="Times New Roman" w:cs="Times New Roman"/>
          <w:b/>
          <w:bCs/>
        </w:rPr>
        <w:t>109</w:t>
      </w:r>
      <w:r w:rsidRPr="00924A5F">
        <w:rPr>
          <w:rFonts w:ascii="Times New Roman" w:hAnsi="Times New Roman" w:cs="Times New Roman"/>
        </w:rPr>
        <w:t>, 171–202 (2019).</w:t>
      </w:r>
    </w:p>
    <w:p w14:paraId="230A244C"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12. </w:t>
      </w:r>
      <w:r w:rsidRPr="00924A5F">
        <w:rPr>
          <w:rFonts w:ascii="Times New Roman" w:hAnsi="Times New Roman" w:cs="Times New Roman"/>
        </w:rPr>
        <w:tab/>
        <w:t xml:space="preserve">U. C. Bureau, Developing the DAS: Progress Metrics and Data Runs. </w:t>
      </w:r>
      <w:r w:rsidRPr="00924A5F">
        <w:rPr>
          <w:rFonts w:ascii="Times New Roman" w:hAnsi="Times New Roman" w:cs="Times New Roman"/>
          <w:i/>
          <w:iCs/>
        </w:rPr>
        <w:t>U. S. Census Bur.</w:t>
      </w:r>
      <w:r w:rsidRPr="00924A5F">
        <w:rPr>
          <w:rFonts w:ascii="Times New Roman" w:hAnsi="Times New Roman" w:cs="Times New Roman"/>
        </w:rPr>
        <w:t>, (available at https://www.census.gov/programs-surveys/decennial-census/2020-census/planning-management/2020-census-data-products/2020-das-metrics.html).</w:t>
      </w:r>
    </w:p>
    <w:p w14:paraId="571F49CE"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13. </w:t>
      </w:r>
      <w:r w:rsidRPr="00924A5F">
        <w:rPr>
          <w:rFonts w:ascii="Times New Roman" w:hAnsi="Times New Roman" w:cs="Times New Roman"/>
        </w:rPr>
        <w:tab/>
        <w:t xml:space="preserve">R. A. O. Jr, R. Gebeloff, K. K. R. Lai, W. Wright, M. Smith, The Fullest Look Yet at the Racial Inequity of Coronavirus. </w:t>
      </w:r>
      <w:r w:rsidRPr="00924A5F">
        <w:rPr>
          <w:rFonts w:ascii="Times New Roman" w:hAnsi="Times New Roman" w:cs="Times New Roman"/>
          <w:i/>
          <w:iCs/>
        </w:rPr>
        <w:t>N. Y. Times</w:t>
      </w:r>
      <w:r w:rsidRPr="00924A5F">
        <w:rPr>
          <w:rFonts w:ascii="Times New Roman" w:hAnsi="Times New Roman" w:cs="Times New Roman"/>
        </w:rPr>
        <w:t xml:space="preserve"> (2020), (available at https://www.nytimes.com/interactive/2020/07/05/us/coronavirus-latinos-african-americans-cdc-data.html).</w:t>
      </w:r>
    </w:p>
    <w:p w14:paraId="665F47A3" w14:textId="77777777" w:rsidR="00924A5F" w:rsidRPr="00924A5F" w:rsidRDefault="00924A5F" w:rsidP="00924A5F">
      <w:pPr>
        <w:pStyle w:val="Bibliography"/>
        <w:rPr>
          <w:rFonts w:ascii="Times New Roman" w:hAnsi="Times New Roman" w:cs="Times New Roman"/>
        </w:rPr>
      </w:pPr>
      <w:r w:rsidRPr="00924A5F">
        <w:rPr>
          <w:rFonts w:ascii="Times New Roman" w:hAnsi="Times New Roman" w:cs="Times New Roman"/>
        </w:rPr>
        <w:t xml:space="preserve">14. </w:t>
      </w:r>
      <w:r w:rsidRPr="00924A5F">
        <w:rPr>
          <w:rFonts w:ascii="Times New Roman" w:hAnsi="Times New Roman" w:cs="Times New Roman"/>
        </w:rPr>
        <w:tab/>
        <w:t xml:space="preserve">CDC, Coronavirus Disease 2019 (COVID-19). </w:t>
      </w:r>
      <w:r w:rsidRPr="00924A5F">
        <w:rPr>
          <w:rFonts w:ascii="Times New Roman" w:hAnsi="Times New Roman" w:cs="Times New Roman"/>
          <w:i/>
          <w:iCs/>
        </w:rPr>
        <w:t>Cent. Dis. Control Prev.</w:t>
      </w:r>
      <w:r w:rsidRPr="00924A5F">
        <w:rPr>
          <w:rFonts w:ascii="Times New Roman" w:hAnsi="Times New Roman" w:cs="Times New Roman"/>
        </w:rPr>
        <w:t xml:space="preserve"> (2020), (available at https://www.cdc.gov/coronavirus/2019-ncov/need-extra-precautions/racial-ethnic-minorities.html).</w:t>
      </w:r>
    </w:p>
    <w:p w14:paraId="6588DB53" w14:textId="36CCB62A"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6D56723E" w:rsidR="00783A55" w:rsidRDefault="00837249"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2C70C2D" wp14:editId="23D7A951">
            <wp:extent cx="5943600" cy="3782060"/>
            <wp:effectExtent l="0" t="0" r="0" b="8890"/>
            <wp:docPr id="4" name="Picture 4"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519056FA" w:rsidR="00637352" w:rsidRDefault="00FC27DF"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29659ED8" wp14:editId="5DF6681C">
            <wp:extent cx="5943600" cy="3782060"/>
            <wp:effectExtent l="0" t="0" r="0" b="889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13.40%</w:t>
            </w:r>
          </w:p>
        </w:tc>
        <w:tc>
          <w:tcPr>
            <w:tcW w:w="0" w:type="auto"/>
            <w:tcBorders>
              <w:top w:val="nil"/>
              <w:left w:val="nil"/>
              <w:bottom w:val="nil"/>
              <w:right w:val="nil"/>
            </w:tcBorders>
            <w:shd w:val="clear" w:color="auto" w:fill="auto"/>
            <w:noWrap/>
            <w:vAlign w:val="center"/>
            <w:hideMark/>
          </w:tcPr>
          <w:p w14:paraId="385D098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40.90%</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42.90%</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8.30%</w:t>
            </w:r>
          </w:p>
        </w:tc>
        <w:tc>
          <w:tcPr>
            <w:tcW w:w="0" w:type="auto"/>
            <w:tcBorders>
              <w:top w:val="nil"/>
              <w:left w:val="nil"/>
              <w:bottom w:val="nil"/>
              <w:right w:val="nil"/>
            </w:tcBorders>
            <w:shd w:val="clear" w:color="auto" w:fill="auto"/>
            <w:noWrap/>
            <w:vAlign w:val="center"/>
            <w:hideMark/>
          </w:tcPr>
          <w:p w14:paraId="528D1F9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27.60%</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6.50%</w:t>
            </w:r>
          </w:p>
        </w:tc>
        <w:tc>
          <w:tcPr>
            <w:tcW w:w="0" w:type="auto"/>
            <w:tcBorders>
              <w:top w:val="nil"/>
              <w:left w:val="nil"/>
              <w:bottom w:val="nil"/>
              <w:right w:val="nil"/>
            </w:tcBorders>
            <w:shd w:val="clear" w:color="auto" w:fill="auto"/>
            <w:noWrap/>
            <w:vAlign w:val="center"/>
            <w:hideMark/>
          </w:tcPr>
          <w:p w14:paraId="7C748CA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23.60%</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82.20%</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5.50%</w:t>
            </w:r>
          </w:p>
        </w:tc>
        <w:tc>
          <w:tcPr>
            <w:tcW w:w="0" w:type="auto"/>
            <w:tcBorders>
              <w:top w:val="nil"/>
              <w:left w:val="nil"/>
              <w:bottom w:val="nil"/>
              <w:right w:val="nil"/>
            </w:tcBorders>
            <w:shd w:val="clear" w:color="auto" w:fill="auto"/>
            <w:noWrap/>
            <w:vAlign w:val="center"/>
            <w:hideMark/>
          </w:tcPr>
          <w:p w14:paraId="3B26A3A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21.60%</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90.20%</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5.00%</w:t>
            </w:r>
          </w:p>
        </w:tc>
        <w:tc>
          <w:tcPr>
            <w:tcW w:w="0" w:type="auto"/>
            <w:tcBorders>
              <w:top w:val="nil"/>
              <w:left w:val="nil"/>
              <w:bottom w:val="nil"/>
              <w:right w:val="nil"/>
            </w:tcBorders>
            <w:shd w:val="clear" w:color="auto" w:fill="auto"/>
            <w:noWrap/>
            <w:vAlign w:val="center"/>
            <w:hideMark/>
          </w:tcPr>
          <w:p w14:paraId="3748F73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20.50%</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4.60%</w:t>
            </w:r>
          </w:p>
        </w:tc>
        <w:tc>
          <w:tcPr>
            <w:tcW w:w="0" w:type="auto"/>
            <w:tcBorders>
              <w:top w:val="nil"/>
              <w:left w:val="nil"/>
              <w:bottom w:val="single" w:sz="8" w:space="0" w:color="auto"/>
              <w:right w:val="nil"/>
            </w:tcBorders>
            <w:shd w:val="clear" w:color="auto" w:fill="auto"/>
            <w:noWrap/>
            <w:vAlign w:val="center"/>
            <w:hideMark/>
          </w:tcPr>
          <w:p w14:paraId="7116127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19.50%</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15.66%</w:t>
            </w:r>
          </w:p>
        </w:tc>
        <w:tc>
          <w:tcPr>
            <w:tcW w:w="0" w:type="auto"/>
            <w:tcBorders>
              <w:top w:val="nil"/>
              <w:left w:val="nil"/>
              <w:bottom w:val="nil"/>
              <w:right w:val="nil"/>
            </w:tcBorders>
            <w:shd w:val="clear" w:color="auto" w:fill="auto"/>
            <w:noWrap/>
            <w:vAlign w:val="center"/>
            <w:hideMark/>
          </w:tcPr>
          <w:p w14:paraId="6266C03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47.21%</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60.40%</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11.62%</w:t>
            </w:r>
          </w:p>
        </w:tc>
        <w:tc>
          <w:tcPr>
            <w:tcW w:w="0" w:type="auto"/>
            <w:tcBorders>
              <w:top w:val="nil"/>
              <w:left w:val="nil"/>
              <w:bottom w:val="nil"/>
              <w:right w:val="nil"/>
            </w:tcBorders>
            <w:shd w:val="clear" w:color="auto" w:fill="auto"/>
            <w:noWrap/>
            <w:vAlign w:val="center"/>
            <w:hideMark/>
          </w:tcPr>
          <w:p w14:paraId="6773D60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41.46%</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69.32%</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9.46%</w:t>
            </w:r>
          </w:p>
        </w:tc>
        <w:tc>
          <w:tcPr>
            <w:tcW w:w="0" w:type="auto"/>
            <w:tcBorders>
              <w:top w:val="nil"/>
              <w:left w:val="nil"/>
              <w:bottom w:val="nil"/>
              <w:right w:val="nil"/>
            </w:tcBorders>
            <w:shd w:val="clear" w:color="auto" w:fill="auto"/>
            <w:noWrap/>
            <w:vAlign w:val="center"/>
            <w:hideMark/>
          </w:tcPr>
          <w:p w14:paraId="482F50F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75.86%</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7.66%</w:t>
            </w:r>
          </w:p>
        </w:tc>
        <w:tc>
          <w:tcPr>
            <w:tcW w:w="0" w:type="auto"/>
            <w:tcBorders>
              <w:top w:val="nil"/>
              <w:left w:val="nil"/>
              <w:bottom w:val="nil"/>
              <w:right w:val="nil"/>
            </w:tcBorders>
            <w:shd w:val="clear" w:color="auto" w:fill="auto"/>
            <w:noWrap/>
            <w:vAlign w:val="center"/>
            <w:hideMark/>
          </w:tcPr>
          <w:p w14:paraId="3EFA2EE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35.03%</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82.43%</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6.28%</w:t>
            </w:r>
          </w:p>
        </w:tc>
        <w:tc>
          <w:tcPr>
            <w:tcW w:w="0" w:type="auto"/>
            <w:tcBorders>
              <w:top w:val="nil"/>
              <w:left w:val="nil"/>
              <w:bottom w:val="nil"/>
              <w:right w:val="nil"/>
            </w:tcBorders>
            <w:shd w:val="clear" w:color="auto" w:fill="auto"/>
            <w:noWrap/>
            <w:vAlign w:val="center"/>
            <w:hideMark/>
          </w:tcPr>
          <w:p w14:paraId="0AE942B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32.70%</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88.37%</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4.17%</w:t>
            </w:r>
          </w:p>
        </w:tc>
        <w:tc>
          <w:tcPr>
            <w:tcW w:w="0" w:type="auto"/>
            <w:tcBorders>
              <w:top w:val="nil"/>
              <w:left w:val="nil"/>
              <w:bottom w:val="single" w:sz="8" w:space="0" w:color="auto"/>
              <w:right w:val="nil"/>
            </w:tcBorders>
            <w:shd w:val="clear" w:color="auto" w:fill="auto"/>
            <w:noWrap/>
            <w:vAlign w:val="center"/>
            <w:hideMark/>
          </w:tcPr>
          <w:p w14:paraId="0DCED7D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28.91%</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06486C10" w14:textId="440E5664" w:rsidR="005C14A3" w:rsidRPr="002C1EC8" w:rsidRDefault="009014D1" w:rsidP="00ED0640">
      <w:pPr>
        <w:spacing w:line="240" w:lineRule="auto"/>
        <w:rPr>
          <w:rFonts w:ascii="Times New Roman" w:hAnsi="Times New Roman" w:cs="Times New Roman"/>
        </w:rPr>
      </w:pPr>
      <w:r w:rsidRPr="002C1EC8">
        <w:rPr>
          <w:rFonts w:ascii="Times New Roman" w:hAnsi="Times New Roman" w:cs="Times New Roman"/>
        </w:rPr>
        <w:t xml:space="preserve">Here we </w:t>
      </w:r>
      <w:r w:rsidR="002C1EC8" w:rsidRPr="002C1EC8">
        <w:rPr>
          <w:rFonts w:ascii="Times New Roman" w:hAnsi="Times New Roman" w:cs="Times New Roman"/>
        </w:rPr>
        <w:t>outline the methods for estimating COVID-19 mortality rates by age/sex and by race. First, we describe the datasets</w:t>
      </w:r>
      <w:r w:rsidR="00E86470">
        <w:rPr>
          <w:rFonts w:ascii="Times New Roman" w:hAnsi="Times New Roman" w:cs="Times New Roman"/>
        </w:rPr>
        <w:t>. COVID-19 mortality rates are simply calculated as the numeric deaths divided by the population.</w:t>
      </w:r>
    </w:p>
    <w:p w14:paraId="3D271BB5" w14:textId="582BDAF6"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4C553F">
        <w:rPr>
          <w:rFonts w:ascii="Times New Roman" w:hAnsi="Times New Roman" w:cs="Times New Roman"/>
          <w:b/>
          <w:bCs/>
        </w:rPr>
        <w:instrText xml:space="preserve"> ADDIN ZOTERO_ITEM CSL_CITATION {"citationID":"eUMaT4Hg","properties":{"formattedCitation":"({\\i{}6})","plainCitation":"(6)","noteIndex":0},"citationItems":[{"id":"FMnw3zbS/4jGomYCg","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4C553F" w:rsidRPr="00A26C2E">
        <w:rPr>
          <w:rFonts w:ascii="Times New Roman" w:hAnsi="Times New Roman" w:cs="Times New Roman"/>
          <w:szCs w:val="24"/>
        </w:rPr>
        <w:t>(</w:t>
      </w:r>
      <w:r w:rsidR="004C553F" w:rsidRPr="00A26C2E">
        <w:rPr>
          <w:rFonts w:ascii="Times New Roman" w:hAnsi="Times New Roman" w:cs="Times New Roman"/>
          <w:i/>
          <w:iCs/>
          <w:szCs w:val="24"/>
        </w:rPr>
        <w:t>6</w:t>
      </w:r>
      <w:r w:rsidR="004C553F" w:rsidRPr="00A26C2E">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09F12692"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924A5F">
        <w:rPr>
          <w:rFonts w:ascii="Times New Roman" w:eastAsiaTheme="minorEastAsia" w:hAnsi="Times New Roman" w:cs="Times New Roman"/>
        </w:rPr>
        <w:instrText xml:space="preserve"> ADDIN ZOTERO_ITEM CSL_CITATION {"citationID":"zwO3xSPh","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 This allows us to estimate the anticipated mortality</w:t>
      </w:r>
      <w:r w:rsidR="00CB3F70">
        <w:rPr>
          <w:rFonts w:ascii="Times New Roman" w:eastAsiaTheme="minorEastAsia" w:hAnsi="Times New Roman" w:cs="Times New Roman"/>
        </w:rPr>
        <w:t xml:space="preserve"> for 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r>
              <w:rPr>
                <w:rFonts w:ascii="Cambria Math" w:eastAsiaTheme="minorEastAsia" w:hAnsi="Cambria Math" w:cs="Times New Roman"/>
              </w:rPr>
              <m:t>a,s,</m:t>
            </m:r>
            <m:r>
              <w:rPr>
                <w:rFonts w:ascii="Cambria Math" w:eastAsiaTheme="minorEastAsia" w:hAnsi="Cambria Math" w:cs="Times New Roman"/>
              </w:rPr>
              <m:t>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r w:rsidR="00492ABE" w:rsidRPr="00492ABE">
        <w:rPr>
          <w:rFonts w:ascii="Times New Roman" w:eastAsiaTheme="minorEastAsia" w:hAnsi="Times New Roman" w:cs="Times New Roman"/>
          <w:i/>
          <w:iCs/>
        </w:rPr>
        <w:t>i</w:t>
      </w:r>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group </w:t>
      </w:r>
      <w:r w:rsidR="002B3C07" w:rsidRPr="002B3C07">
        <w:rPr>
          <w:rFonts w:ascii="Times New Roman" w:eastAsiaTheme="minorEastAsia" w:hAnsi="Times New Roman" w:cs="Times New Roman"/>
          <w:i/>
          <w:iCs/>
        </w:rPr>
        <w:t>s</w:t>
      </w:r>
      <w:r w:rsidR="00CB3F70">
        <w:rPr>
          <w:rFonts w:ascii="Times New Roman" w:eastAsiaTheme="minorEastAsia" w:hAnsi="Times New Roman" w:cs="Times New Roman"/>
        </w:rPr>
        <w:t>. We then calculate the mortality rate under an SF and a DP denominator such that (</w:t>
      </w:r>
      <m:oMath>
        <m:r>
          <w:rPr>
            <w:rFonts w:ascii="Cambria Math" w:eastAsiaTheme="minorEastAsia" w:hAnsi="Cambria Math" w:cs="Times New Roman"/>
          </w:rPr>
          <m:t>m=</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r>
                  <w:rPr>
                    <w:rFonts w:ascii="Cambria Math" w:eastAsiaTheme="minorEastAsia" w:hAnsi="Cambria Math" w:cs="Times New Roman"/>
                  </w:rPr>
                  <m:t>a,s,</m:t>
                </m:r>
                <m:r>
                  <w:rPr>
                    <w:rFonts w:ascii="Cambria Math" w:eastAsiaTheme="minorEastAsia" w:hAnsi="Cambria Math" w:cs="Times New Roman"/>
                  </w:rPr>
                  <m:t>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m:t>
                </m:r>
                <m:r>
                  <w:rPr>
                    <w:rFonts w:ascii="Cambria Math" w:eastAsiaTheme="minorEastAsia" w:hAnsi="Cambria Math" w:cs="Times New Roman"/>
                  </w:rPr>
                  <m:t>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 xml:space="preserve">i, </m:t>
            </m:r>
            <m:r>
              <w:rPr>
                <w:rFonts w:ascii="Cambria Math" w:eastAsiaTheme="minorEastAsia" w:hAnsi="Cambria Math" w:cs="Times New Roman"/>
              </w:rPr>
              <m:t>a,s,</m:t>
            </m:r>
            <m:r>
              <w:rPr>
                <w:rFonts w:ascii="Cambria Math" w:eastAsiaTheme="minorEastAsia" w:hAnsi="Cambria Math" w:cs="Times New Roman"/>
              </w:rPr>
              <m:t>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433531">
        <w:rPr>
          <w:rFonts w:ascii="Times New Roman" w:eastAsiaTheme="minorEastAsia" w:hAnsi="Times New Roman" w:cs="Times New Roman"/>
        </w:rPr>
        <w:t xml:space="preserve"> and the relevant </w:t>
      </w:r>
      <w:r w:rsidR="00190959">
        <w:rPr>
          <w:rFonts w:ascii="Times New Roman" w:eastAsiaTheme="minorEastAsia" w:hAnsi="Times New Roman" w:cs="Times New Roman"/>
        </w:rPr>
        <w:t>county-</w:t>
      </w:r>
      <w:r w:rsidR="00433531">
        <w:rPr>
          <w:rFonts w:ascii="Times New Roman" w:eastAsiaTheme="minorEastAsia" w:hAnsi="Times New Roman" w:cs="Times New Roman"/>
        </w:rPr>
        <w:t>age</w:t>
      </w:r>
      <w:r w:rsidR="00190959">
        <w:rPr>
          <w:rFonts w:ascii="Times New Roman" w:eastAsiaTheme="minorEastAsia" w:hAnsi="Times New Roman" w:cs="Times New Roman"/>
        </w:rPr>
        <w:t>-</w:t>
      </w:r>
      <w:r w:rsidR="00433531">
        <w:rPr>
          <w:rFonts w:ascii="Times New Roman" w:eastAsiaTheme="minorEastAsia" w:hAnsi="Times New Roman" w:cs="Times New Roman"/>
        </w:rPr>
        <w:t>sex groups</w:t>
      </w:r>
      <w:r w:rsidR="002B3C07">
        <w:rPr>
          <w:rFonts w:ascii="Times New Roman" w:eastAsiaTheme="minorEastAsia" w:hAnsi="Times New Roman" w:cs="Times New Roman"/>
        </w:rPr>
        <w:t>.</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r w:rsidR="00190959" w:rsidRPr="006129A7">
        <w:rPr>
          <w:rFonts w:ascii="Times New Roman" w:eastAsiaTheme="minorEastAsia" w:hAnsi="Times New Roman" w:cs="Times New Roman"/>
          <w:i/>
          <w:iCs/>
        </w:rPr>
        <w:t>i</w:t>
      </w:r>
      <w:r w:rsidR="00730AEC">
        <w:rPr>
          <w:rFonts w:ascii="Times New Roman" w:eastAsiaTheme="minorEastAsia" w:hAnsi="Times New Roman" w:cs="Times New Roman"/>
        </w:rPr>
        <w:t xml:space="preserve"> 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w:r w:rsidR="00730AEC">
        <w:rPr>
          <w:rFonts w:ascii="Times New Roman" w:eastAsiaTheme="minorEastAsia" w:hAnsi="Times New Roman" w:cs="Times New Roman"/>
        </w:rPr>
        <w:t>(</w:t>
      </w:r>
      <m:oMath>
        <m:r>
          <w:rPr>
            <w:rFonts w:ascii="Cambria Math" w:eastAsiaTheme="minorEastAsia" w:hAnsi="Cambria Math" w:cs="Times New Roman"/>
          </w:rPr>
          <m:t>m=</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r>
                  <w:rPr>
                    <w:rFonts w:ascii="Cambria Math" w:eastAsiaTheme="minorEastAsia" w:hAnsi="Cambria Math" w:cs="Times New Roman"/>
                  </w:rPr>
                  <m:t>r</m:t>
                </m:r>
                <m:r>
                  <w:rPr>
                    <w:rFonts w:ascii="Cambria Math" w:eastAsiaTheme="minorEastAsia" w:hAnsi="Cambria Math" w:cs="Times New Roman"/>
                  </w:rPr>
                  <m:t>,SF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r>
                  <w:rPr>
                    <w:rFonts w:ascii="Cambria Math" w:eastAsiaTheme="minorEastAsia" w:hAnsi="Cambria Math" w:cs="Times New Roman"/>
                  </w:rPr>
                  <m:t>r</m:t>
                </m:r>
                <m:r>
                  <w:rPr>
                    <w:rFonts w:ascii="Cambria Math" w:eastAsiaTheme="minorEastAsia" w:hAnsi="Cambria Math" w:cs="Times New Roman"/>
                  </w:rPr>
                  <m:t>,c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588A43E8" w:rsidR="00991238" w:rsidRPr="006129A7"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sectPr w:rsidR="00991238" w:rsidRPr="006129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5741E" w14:textId="77777777" w:rsidR="00ED0640" w:rsidRDefault="00ED0640" w:rsidP="00ED0640">
      <w:pPr>
        <w:spacing w:after="0" w:line="240" w:lineRule="auto"/>
      </w:pPr>
      <w:r>
        <w:separator/>
      </w:r>
    </w:p>
  </w:endnote>
  <w:endnote w:type="continuationSeparator" w:id="0">
    <w:p w14:paraId="526B61DA" w14:textId="77777777" w:rsidR="00ED0640" w:rsidRDefault="00ED0640"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7D49C031" w:rsidR="00ED0640" w:rsidRDefault="00ED0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00C88" w14:textId="77777777" w:rsidR="00ED0640" w:rsidRDefault="00ED0640" w:rsidP="00ED0640">
      <w:pPr>
        <w:spacing w:after="0" w:line="240" w:lineRule="auto"/>
      </w:pPr>
      <w:r>
        <w:separator/>
      </w:r>
    </w:p>
  </w:footnote>
  <w:footnote w:type="continuationSeparator" w:id="0">
    <w:p w14:paraId="6A0228AD" w14:textId="77777777" w:rsidR="00ED0640" w:rsidRDefault="00ED0640"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07DE8"/>
    <w:rsid w:val="00020468"/>
    <w:rsid w:val="000235F9"/>
    <w:rsid w:val="0002389C"/>
    <w:rsid w:val="000314BD"/>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6A00"/>
    <w:rsid w:val="000C7659"/>
    <w:rsid w:val="000D203A"/>
    <w:rsid w:val="000E02D8"/>
    <w:rsid w:val="00106535"/>
    <w:rsid w:val="00114E86"/>
    <w:rsid w:val="00126DAF"/>
    <w:rsid w:val="0014161C"/>
    <w:rsid w:val="001418C7"/>
    <w:rsid w:val="001462F5"/>
    <w:rsid w:val="001634A7"/>
    <w:rsid w:val="00165676"/>
    <w:rsid w:val="001830FE"/>
    <w:rsid w:val="00190959"/>
    <w:rsid w:val="00192397"/>
    <w:rsid w:val="00195EED"/>
    <w:rsid w:val="001B270E"/>
    <w:rsid w:val="001B37FF"/>
    <w:rsid w:val="001B7B9A"/>
    <w:rsid w:val="001C35E3"/>
    <w:rsid w:val="001D140A"/>
    <w:rsid w:val="001E19CD"/>
    <w:rsid w:val="001E7F84"/>
    <w:rsid w:val="001F2AE4"/>
    <w:rsid w:val="001F2E31"/>
    <w:rsid w:val="00205AD1"/>
    <w:rsid w:val="002074F9"/>
    <w:rsid w:val="002115CF"/>
    <w:rsid w:val="00212E79"/>
    <w:rsid w:val="00220AD2"/>
    <w:rsid w:val="00237096"/>
    <w:rsid w:val="002432F5"/>
    <w:rsid w:val="00245CC1"/>
    <w:rsid w:val="00253002"/>
    <w:rsid w:val="00270E04"/>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620B"/>
    <w:rsid w:val="00307DC3"/>
    <w:rsid w:val="003109B6"/>
    <w:rsid w:val="00314935"/>
    <w:rsid w:val="00334F2B"/>
    <w:rsid w:val="00336326"/>
    <w:rsid w:val="003478EE"/>
    <w:rsid w:val="00347B8D"/>
    <w:rsid w:val="0035232B"/>
    <w:rsid w:val="003542AB"/>
    <w:rsid w:val="00356E5B"/>
    <w:rsid w:val="0036645E"/>
    <w:rsid w:val="00377F18"/>
    <w:rsid w:val="00396E42"/>
    <w:rsid w:val="003B17BA"/>
    <w:rsid w:val="003B18B2"/>
    <w:rsid w:val="003B310F"/>
    <w:rsid w:val="003D0D01"/>
    <w:rsid w:val="003D2BF4"/>
    <w:rsid w:val="003D463D"/>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73E3"/>
    <w:rsid w:val="00460E4A"/>
    <w:rsid w:val="00467D47"/>
    <w:rsid w:val="004717AB"/>
    <w:rsid w:val="004718D8"/>
    <w:rsid w:val="00475B79"/>
    <w:rsid w:val="00476979"/>
    <w:rsid w:val="00481206"/>
    <w:rsid w:val="00486776"/>
    <w:rsid w:val="004868D2"/>
    <w:rsid w:val="004910F4"/>
    <w:rsid w:val="00492ABE"/>
    <w:rsid w:val="00494B96"/>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1466"/>
    <w:rsid w:val="0051455C"/>
    <w:rsid w:val="00514B4D"/>
    <w:rsid w:val="0051710A"/>
    <w:rsid w:val="00517B1B"/>
    <w:rsid w:val="00524D22"/>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10A15"/>
    <w:rsid w:val="00610E46"/>
    <w:rsid w:val="006129A7"/>
    <w:rsid w:val="0063377A"/>
    <w:rsid w:val="00636197"/>
    <w:rsid w:val="00637352"/>
    <w:rsid w:val="00645072"/>
    <w:rsid w:val="006517FE"/>
    <w:rsid w:val="006558E4"/>
    <w:rsid w:val="00657E33"/>
    <w:rsid w:val="0066439B"/>
    <w:rsid w:val="0067037B"/>
    <w:rsid w:val="00670657"/>
    <w:rsid w:val="00670ACC"/>
    <w:rsid w:val="00672583"/>
    <w:rsid w:val="006726B1"/>
    <w:rsid w:val="00672F1C"/>
    <w:rsid w:val="00677454"/>
    <w:rsid w:val="006A36C5"/>
    <w:rsid w:val="006A4666"/>
    <w:rsid w:val="006A46BE"/>
    <w:rsid w:val="006A601B"/>
    <w:rsid w:val="006B685C"/>
    <w:rsid w:val="006C0887"/>
    <w:rsid w:val="006C40D2"/>
    <w:rsid w:val="006D1291"/>
    <w:rsid w:val="006D12C7"/>
    <w:rsid w:val="006F08A6"/>
    <w:rsid w:val="006F4CB1"/>
    <w:rsid w:val="0070243A"/>
    <w:rsid w:val="0070433B"/>
    <w:rsid w:val="00706EE0"/>
    <w:rsid w:val="007108CF"/>
    <w:rsid w:val="00711155"/>
    <w:rsid w:val="00715609"/>
    <w:rsid w:val="00730AEC"/>
    <w:rsid w:val="007333A2"/>
    <w:rsid w:val="00733CFF"/>
    <w:rsid w:val="00733D89"/>
    <w:rsid w:val="00737757"/>
    <w:rsid w:val="00744993"/>
    <w:rsid w:val="00752D7E"/>
    <w:rsid w:val="00753510"/>
    <w:rsid w:val="007536DD"/>
    <w:rsid w:val="00756A2F"/>
    <w:rsid w:val="00761DDB"/>
    <w:rsid w:val="007639DA"/>
    <w:rsid w:val="007700A9"/>
    <w:rsid w:val="007711B9"/>
    <w:rsid w:val="0077301F"/>
    <w:rsid w:val="007741DB"/>
    <w:rsid w:val="0077545D"/>
    <w:rsid w:val="007763ED"/>
    <w:rsid w:val="00783A55"/>
    <w:rsid w:val="00785D77"/>
    <w:rsid w:val="0079703B"/>
    <w:rsid w:val="007A27DC"/>
    <w:rsid w:val="007A3D96"/>
    <w:rsid w:val="007B1D7C"/>
    <w:rsid w:val="007B71BD"/>
    <w:rsid w:val="007C2877"/>
    <w:rsid w:val="007E1F07"/>
    <w:rsid w:val="007F4271"/>
    <w:rsid w:val="007F4312"/>
    <w:rsid w:val="007F7342"/>
    <w:rsid w:val="007F784E"/>
    <w:rsid w:val="00804490"/>
    <w:rsid w:val="00805785"/>
    <w:rsid w:val="00806A55"/>
    <w:rsid w:val="00807336"/>
    <w:rsid w:val="00807F63"/>
    <w:rsid w:val="008138D6"/>
    <w:rsid w:val="00813F16"/>
    <w:rsid w:val="00814750"/>
    <w:rsid w:val="008222BB"/>
    <w:rsid w:val="00824867"/>
    <w:rsid w:val="00827827"/>
    <w:rsid w:val="00835DD7"/>
    <w:rsid w:val="00835E3A"/>
    <w:rsid w:val="00837249"/>
    <w:rsid w:val="00844010"/>
    <w:rsid w:val="00846786"/>
    <w:rsid w:val="00855D75"/>
    <w:rsid w:val="00856FA4"/>
    <w:rsid w:val="00863988"/>
    <w:rsid w:val="0087149E"/>
    <w:rsid w:val="008717E2"/>
    <w:rsid w:val="008739A2"/>
    <w:rsid w:val="008778E9"/>
    <w:rsid w:val="008814A4"/>
    <w:rsid w:val="00891221"/>
    <w:rsid w:val="00892FFA"/>
    <w:rsid w:val="00893483"/>
    <w:rsid w:val="0089602B"/>
    <w:rsid w:val="00897D6B"/>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2725"/>
    <w:rsid w:val="00943C3B"/>
    <w:rsid w:val="00945E82"/>
    <w:rsid w:val="0095471D"/>
    <w:rsid w:val="009611D8"/>
    <w:rsid w:val="00965787"/>
    <w:rsid w:val="00970E69"/>
    <w:rsid w:val="00972107"/>
    <w:rsid w:val="00980BDB"/>
    <w:rsid w:val="00985697"/>
    <w:rsid w:val="00985A6C"/>
    <w:rsid w:val="00991238"/>
    <w:rsid w:val="00993D0F"/>
    <w:rsid w:val="009946F5"/>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6C2E"/>
    <w:rsid w:val="00A30E76"/>
    <w:rsid w:val="00A31F8A"/>
    <w:rsid w:val="00A412D0"/>
    <w:rsid w:val="00A6723D"/>
    <w:rsid w:val="00A700A4"/>
    <w:rsid w:val="00A705B8"/>
    <w:rsid w:val="00A71D7F"/>
    <w:rsid w:val="00A81B74"/>
    <w:rsid w:val="00A920B4"/>
    <w:rsid w:val="00AA33B4"/>
    <w:rsid w:val="00AA39C5"/>
    <w:rsid w:val="00AA526E"/>
    <w:rsid w:val="00AD49AA"/>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D71"/>
    <w:rsid w:val="00B80108"/>
    <w:rsid w:val="00B82C99"/>
    <w:rsid w:val="00B85ABB"/>
    <w:rsid w:val="00B9290F"/>
    <w:rsid w:val="00B9580F"/>
    <w:rsid w:val="00B95F43"/>
    <w:rsid w:val="00BA5101"/>
    <w:rsid w:val="00BA559C"/>
    <w:rsid w:val="00BA6643"/>
    <w:rsid w:val="00BB19E2"/>
    <w:rsid w:val="00BB234B"/>
    <w:rsid w:val="00BC3E1B"/>
    <w:rsid w:val="00BC6274"/>
    <w:rsid w:val="00BD1D07"/>
    <w:rsid w:val="00BD35DC"/>
    <w:rsid w:val="00BD3883"/>
    <w:rsid w:val="00BD5B21"/>
    <w:rsid w:val="00BD66C9"/>
    <w:rsid w:val="00BE5520"/>
    <w:rsid w:val="00BF3BD8"/>
    <w:rsid w:val="00C00935"/>
    <w:rsid w:val="00C20AF5"/>
    <w:rsid w:val="00C26526"/>
    <w:rsid w:val="00C26A41"/>
    <w:rsid w:val="00C26CB8"/>
    <w:rsid w:val="00C32AD3"/>
    <w:rsid w:val="00C35CC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B3F70"/>
    <w:rsid w:val="00CC08AC"/>
    <w:rsid w:val="00CD37A1"/>
    <w:rsid w:val="00CE5365"/>
    <w:rsid w:val="00CE6AEE"/>
    <w:rsid w:val="00D021CC"/>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3F7F"/>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6470"/>
    <w:rsid w:val="00E91F03"/>
    <w:rsid w:val="00EC30DD"/>
    <w:rsid w:val="00EC508F"/>
    <w:rsid w:val="00ED0640"/>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7391"/>
    <w:rsid w:val="00FA3334"/>
    <w:rsid w:val="00FA53E4"/>
    <w:rsid w:val="00FA5ACB"/>
    <w:rsid w:val="00FB04D8"/>
    <w:rsid w:val="00FB1B69"/>
    <w:rsid w:val="00FB6BBD"/>
    <w:rsid w:val="00FC04AE"/>
    <w:rsid w:val="00FC0A50"/>
    <w:rsid w:val="00FC27DF"/>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7401</Words>
  <Characters>42188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173</cp:revision>
  <dcterms:created xsi:type="dcterms:W3CDTF">2020-07-07T17:58:00Z</dcterms:created>
  <dcterms:modified xsi:type="dcterms:W3CDTF">2020-07-08T18:20:00Z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id="FMnw3zbS"/&gt;&lt;style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