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5A95445F"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r w:rsidR="00C77025" w:rsidRPr="00783A55">
        <w:rPr>
          <w:rFonts w:ascii="Times New Roman" w:hAnsi="Times New Roman" w:cs="Times New Roman"/>
          <w:b/>
        </w:rPr>
        <w:t>distort</w:t>
      </w:r>
      <w:r w:rsidR="00C77025">
        <w:rPr>
          <w:rFonts w:ascii="Times New Roman" w:hAnsi="Times New Roman" w:cs="Times New Roman"/>
          <w:b/>
        </w:rPr>
        <w:t>s</w:t>
      </w:r>
      <w:r w:rsidR="00C77025" w:rsidRPr="00783A55">
        <w:rPr>
          <w:rFonts w:ascii="Times New Roman" w:hAnsi="Times New Roman" w:cs="Times New Roman"/>
          <w:b/>
        </w:rPr>
        <w:t xml:space="preserve">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6" w:history="1">
        <w:r w:rsidRPr="001E7F84">
          <w:rPr>
            <w:rStyle w:val="Hyperlink"/>
            <w:rFonts w:ascii="Times New Roman" w:hAnsi="Times New Roman" w:cs="Times New Roman"/>
          </w:rPr>
          <w:t>mehauer@fsu.edu</w:t>
        </w:r>
      </w:hyperlink>
    </w:p>
    <w:p w14:paraId="32AEFA62" w14:textId="7E58BD6E"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FA5ACB">
        <w:rPr>
          <w:rFonts w:ascii="Times New Roman" w:hAnsi="Times New Roman" w:cs="Times New Roman"/>
        </w:rPr>
        <w:t xml:space="preserve">CVOID-19 </w:t>
      </w:r>
      <w:r>
        <w:rPr>
          <w:rFonts w:ascii="Times New Roman" w:hAnsi="Times New Roman" w:cs="Times New Roman"/>
        </w:rPr>
        <w:t xml:space="preserve">rates </w:t>
      </w:r>
      <w:r w:rsidR="00FA5ACB">
        <w:rPr>
          <w:rFonts w:ascii="Times New Roman" w:hAnsi="Times New Roman" w:cs="Times New Roman"/>
        </w:rPr>
        <w:t>(mortality,</w:t>
      </w:r>
      <w:r w:rsidR="00FF276F">
        <w:rPr>
          <w:rFonts w:ascii="Times New Roman" w:hAnsi="Times New Roman" w:cs="Times New Roman"/>
        </w:rPr>
        <w:t xml:space="preserve"> incidence or the new case rate</w:t>
      </w:r>
      <w:r w:rsidR="00E27C29">
        <w:rPr>
          <w:rFonts w:ascii="Times New Roman" w:hAnsi="Times New Roman" w:cs="Times New Roman"/>
        </w:rPr>
        <w:t>, and</w:t>
      </w:r>
      <w:r w:rsidR="00FA5ACB">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FA5ACB">
        <w:rPr>
          <w:rFonts w:ascii="Times New Roman" w:hAnsi="Times New Roman" w:cs="Times New Roman"/>
        </w:rPr>
        <w:t xml:space="preserve">) </w:t>
      </w:r>
      <w:r>
        <w:rPr>
          <w:rFonts w:ascii="Times New Roman" w:hAnsi="Times New Roman" w:cs="Times New Roman"/>
        </w:rPr>
        <w:t xml:space="preserve">to better understand, communicate, address, and inform mitigation efforts of the COVID-19 </w:t>
      </w:r>
      <w:commentRangeStart w:id="0"/>
      <w:r>
        <w:rPr>
          <w:rFonts w:ascii="Times New Roman" w:hAnsi="Times New Roman" w:cs="Times New Roman"/>
        </w:rPr>
        <w:t>pandemi</w:t>
      </w:r>
      <w:r w:rsidR="001F2E31">
        <w:rPr>
          <w:rFonts w:ascii="Times New Roman" w:hAnsi="Times New Roman" w:cs="Times New Roman"/>
        </w:rPr>
        <w:t>c</w:t>
      </w:r>
      <w:commentRangeEnd w:id="0"/>
      <w:r w:rsidR="001F2E31">
        <w:rPr>
          <w:rStyle w:val="CommentReference"/>
        </w:rPr>
        <w:commentReference w:id="0"/>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A5ACB">
        <w:rPr>
          <w:rFonts w:ascii="Times New Roman" w:hAnsi="Times New Roman" w:cs="Times New Roman"/>
        </w:rPr>
        <w:fldChar w:fldCharType="begin" w:fldLock="1"/>
      </w:r>
      <w:r w:rsidR="00FB6BBD">
        <w:rPr>
          <w:rFonts w:ascii="Times New Roman" w:hAnsi="Times New Roman" w:cs="Times New Roman"/>
        </w:rPr>
        <w:instrText xml:space="preserve"> ADDIN ZOTERO_ITEM CSL_CITATION {"citationID":"HIcrA3CE","properties":{"formattedCitation":"\\super 1\\nosupersub{}","plainCitation":"1","noteIndex":0},"citationItems":[{"id":"IvsHIEEG/kPAbXMWZ","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A5ACB" w:rsidRPr="00D021CC">
        <w:rPr>
          <w:rFonts w:ascii="Times New Roman" w:hAnsi="Times New Roman" w:cs="Times New Roman"/>
          <w:szCs w:val="24"/>
          <w:vertAlign w:val="superscript"/>
        </w:rPr>
        <w:t>1</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commentRangeStart w:id="1"/>
      <w:r w:rsidR="00377F18">
        <w:rPr>
          <w:rFonts w:ascii="Times New Roman" w:hAnsi="Times New Roman" w:cs="Times New Roman"/>
        </w:rPr>
        <w:t xml:space="preserve">harmed </w:t>
      </w:r>
      <w:commentRangeEnd w:id="1"/>
      <w:r w:rsidR="000A75CF">
        <w:rPr>
          <w:rStyle w:val="CommentReference"/>
        </w:rPr>
        <w:commentReference w:id="1"/>
      </w:r>
      <w:r w:rsidR="008E6DF0">
        <w:rPr>
          <w:rFonts w:ascii="Times New Roman" w:hAnsi="Times New Roman" w:cs="Times New Roman"/>
        </w:rPr>
        <w:t>at</w:t>
      </w:r>
      <w:r w:rsidR="00E36C6C">
        <w:rPr>
          <w:rFonts w:ascii="Times New Roman" w:hAnsi="Times New Roman" w:cs="Times New Roman"/>
        </w:rPr>
        <w:t xml:space="preserve"> higher rates </w:t>
      </w:r>
      <w:commentRangeStart w:id="2"/>
      <w:r w:rsidR="00E36C6C">
        <w:rPr>
          <w:rFonts w:ascii="Times New Roman" w:hAnsi="Times New Roman" w:cs="Times New Roman"/>
        </w:rPr>
        <w:t>than racial majorities</w:t>
      </w:r>
      <w:r w:rsidR="00E70677">
        <w:rPr>
          <w:rFonts w:ascii="Times New Roman" w:hAnsi="Times New Roman" w:cs="Times New Roman"/>
        </w:rPr>
        <w:t xml:space="preserve"> </w:t>
      </w:r>
      <w:commentRangeEnd w:id="2"/>
      <w:r w:rsidR="00FD19CF">
        <w:rPr>
          <w:rStyle w:val="CommentReference"/>
        </w:rPr>
        <w:commentReference w:id="2"/>
      </w:r>
      <w:r w:rsidR="00E70677">
        <w:rPr>
          <w:rFonts w:ascii="Times New Roman" w:hAnsi="Times New Roman" w:cs="Times New Roman"/>
        </w:rPr>
        <w:t>[NYT citation]</w:t>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F57E47">
        <w:rPr>
          <w:rFonts w:ascii="Times New Roman" w:hAnsi="Times New Roman" w:cs="Times New Roman"/>
        </w:rPr>
        <w:t xml:space="preserve">the </w:t>
      </w:r>
      <w:r w:rsidR="00237096">
        <w:rPr>
          <w:rFonts w:ascii="Times New Roman" w:hAnsi="Times New Roman" w:cs="Times New Roman"/>
        </w:rPr>
        <w:t>pandemic and illuminating how to manage future pandemics.</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718E4362" w14:textId="15DE133A"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D021CC">
        <w:rPr>
          <w:rFonts w:ascii="Times New Roman" w:hAnsi="Times New Roman" w:cs="Times New Roman"/>
        </w:rPr>
        <w:instrText xml:space="preserve"> ADDIN ZOTERO_ITEM CSL_CITATION {"citationID":"TvxMjXxq","properties":{"formattedCitation":"\\super 2,3\\nosupersub{}","plainCitation":"2,3","noteIndex":0},"citationItems":[{"id":1309,"uris":["http://zotero.org/users/4849625/items/5VQT89E7"],"uri":["http://zotero.org/users/4849625/items/5VQT89E7"],"itemData":{"id":1309,"type":"article-journal","abstract":"The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D021CC" w:rsidRPr="00D021CC">
        <w:rPr>
          <w:rFonts w:ascii="Times New Roman" w:hAnsi="Times New Roman" w:cs="Times New Roman"/>
          <w:szCs w:val="24"/>
          <w:vertAlign w:val="superscript"/>
        </w:rPr>
        <w:t>2,3</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F26880">
        <w:rPr>
          <w:rFonts w:ascii="Times New Roman" w:hAnsi="Times New Roman" w:cs="Times New Roman"/>
        </w:rPr>
        <w:t xml:space="preserve">will need to pay closer attention to population counts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system</w:t>
      </w:r>
      <w:r w:rsidR="000C302F">
        <w:rPr>
          <w:rFonts w:ascii="Times New Roman" w:hAnsi="Times New Roman" w:cs="Times New Roman"/>
        </w:rPr>
        <w:t>, implemented</w:t>
      </w:r>
      <w:r w:rsidR="0051710A">
        <w:rPr>
          <w:rFonts w:ascii="Times New Roman" w:hAnsi="Times New Roman" w:cs="Times New Roman"/>
        </w:rPr>
        <w:t xml:space="preserve"> with the 2020 Census tabulations </w:t>
      </w:r>
      <w:r w:rsidR="0051710A">
        <w:rPr>
          <w:rFonts w:ascii="Times New Roman" w:hAnsi="Times New Roman" w:cs="Times New Roman"/>
        </w:rPr>
        <w:fldChar w:fldCharType="begin" w:fldLock="1"/>
      </w:r>
      <w:r w:rsidR="00FB6BBD">
        <w:rPr>
          <w:rFonts w:ascii="Times New Roman" w:hAnsi="Times New Roman" w:cs="Times New Roman"/>
        </w:rPr>
        <w:instrText xml:space="preserve"> ADDIN ZOTERO_ITEM CSL_CITATION {"citationID":"4I8Kzg5Q","properties":{"formattedCitation":"\\super 4\\nosupersub{}","plainCitation":"4","noteIndex":0},"citationItems":[{"id":"IvsHIEEG/eUKyAmwA","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51710A" w:rsidRPr="00D021CC">
        <w:rPr>
          <w:rFonts w:ascii="Times New Roman" w:hAnsi="Times New Roman" w:cs="Times New Roman"/>
          <w:szCs w:val="24"/>
          <w:vertAlign w:val="superscript"/>
        </w:rPr>
        <w:t>4</w:t>
      </w:r>
      <w:r w:rsidR="0051710A">
        <w:rPr>
          <w:rFonts w:ascii="Times New Roman" w:hAnsi="Times New Roman" w:cs="Times New Roman"/>
        </w:rPr>
        <w:fldChar w:fldCharType="end"/>
      </w:r>
      <w:r w:rsidR="000C302F">
        <w:rPr>
          <w:rFonts w:ascii="Times New Roman" w:hAnsi="Times New Roman" w:cs="Times New Roman"/>
        </w:rPr>
        <w:t>,</w:t>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DP’s implementation and t</w:t>
      </w:r>
      <w:r w:rsidR="007E1F07">
        <w:rPr>
          <w:rFonts w:ascii="Times New Roman" w:hAnsi="Times New Roman" w:cs="Times New Roman"/>
        </w:rPr>
        <w:t xml:space="preserve">he extent to which DP, as proposed, would distort the calculation of pandemic related rates is currently untested. </w:t>
      </w:r>
      <w:r w:rsidR="00FF7CAB">
        <w:rPr>
          <w:rFonts w:ascii="Times New Roman" w:hAnsi="Times New Roman" w:cs="Times New Roman"/>
        </w:rPr>
        <w:t xml:space="preserve">For the calculation of COVID-19 </w:t>
      </w:r>
      <w:r w:rsidR="00B9580F">
        <w:rPr>
          <w:rFonts w:ascii="Times New Roman" w:hAnsi="Times New Roman" w:cs="Times New Roman"/>
        </w:rPr>
        <w:t>incidence</w:t>
      </w:r>
      <w:r w:rsidR="00FF7CAB">
        <w:rPr>
          <w:rFonts w:ascii="Times New Roman" w:hAnsi="Times New Roman" w:cs="Times New Roman"/>
        </w:rPr>
        <w:t xml:space="preserve"> and </w:t>
      </w:r>
      <w:r w:rsidR="00B9580F">
        <w:rPr>
          <w:rFonts w:ascii="Times New Roman" w:hAnsi="Times New Roman" w:cs="Times New Roman"/>
        </w:rPr>
        <w:t>prevalence</w:t>
      </w:r>
      <w:r w:rsidR="00FF7CAB">
        <w:rPr>
          <w:rFonts w:ascii="Times New Roman" w:hAnsi="Times New Roman" w:cs="Times New Roman"/>
        </w:rPr>
        <w:t xml:space="preserve"> rates there will be no alternative to DP Census 2020 data. </w:t>
      </w:r>
      <w:r w:rsidR="007E1F07">
        <w:rPr>
          <w:rFonts w:ascii="Times New Roman" w:hAnsi="Times New Roman" w:cs="Times New Roman"/>
        </w:rPr>
        <w:t>Given how crucial population counts are for the evaluation, tracking</w:t>
      </w:r>
      <w:r w:rsidR="00F53234">
        <w:rPr>
          <w:rFonts w:ascii="Times New Roman" w:hAnsi="Times New Roman" w:cs="Times New Roman"/>
        </w:rPr>
        <w:t>,</w:t>
      </w:r>
      <w:r w:rsidR="007E1F07">
        <w:rPr>
          <w:rFonts w:ascii="Times New Roman" w:hAnsi="Times New Roman" w:cs="Times New Roman"/>
        </w:rPr>
        <w:t xml:space="preserve"> and</w:t>
      </w:r>
      <w:r w:rsidR="00114E86">
        <w:rPr>
          <w:rFonts w:ascii="Times New Roman" w:hAnsi="Times New Roman" w:cs="Times New Roman"/>
        </w:rPr>
        <w:t xml:space="preserve"> </w:t>
      </w:r>
      <w:commentRangeStart w:id="3"/>
      <w:r w:rsidR="00114E86">
        <w:rPr>
          <w:rFonts w:ascii="Times New Roman" w:hAnsi="Times New Roman" w:cs="Times New Roman"/>
        </w:rPr>
        <w:t xml:space="preserve">prediction </w:t>
      </w:r>
      <w:commentRangeEnd w:id="3"/>
      <w:r w:rsidR="00245CC1">
        <w:rPr>
          <w:rStyle w:val="CommentReference"/>
        </w:rPr>
        <w:commentReference w:id="3"/>
      </w:r>
      <w:r w:rsidR="00114E86">
        <w:rPr>
          <w:rFonts w:ascii="Times New Roman" w:hAnsi="Times New Roman" w:cs="Times New Roman"/>
        </w:rPr>
        <w:t xml:space="preserve">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B5290D">
        <w:rPr>
          <w:rFonts w:ascii="Times New Roman" w:hAnsi="Times New Roman" w:cs="Times New Roman"/>
        </w:rPr>
        <w:t xml:space="preserve"> </w:t>
      </w:r>
      <w:commentRangeStart w:id="4"/>
      <w:r w:rsidR="00B5290D">
        <w:rPr>
          <w:rFonts w:ascii="Times New Roman" w:hAnsi="Times New Roman" w:cs="Times New Roman"/>
        </w:rPr>
        <w:t>and future public health crises</w:t>
      </w:r>
      <w:commentRangeEnd w:id="4"/>
      <w:r w:rsidR="00B5290D">
        <w:rPr>
          <w:rStyle w:val="CommentReference"/>
        </w:rPr>
        <w:commentReference w:id="4"/>
      </w:r>
      <w:r w:rsidR="00E71E0E">
        <w:rPr>
          <w:rFonts w:ascii="Times New Roman" w:hAnsi="Times New Roman" w:cs="Times New Roman"/>
        </w:rPr>
        <w:t>.</w:t>
      </w:r>
      <w:r w:rsidR="007E1F07">
        <w:rPr>
          <w:rFonts w:ascii="Times New Roman" w:hAnsi="Times New Roman" w:cs="Times New Roman"/>
        </w:rPr>
        <w:t xml:space="preserve"> </w:t>
      </w:r>
    </w:p>
    <w:p w14:paraId="5D4303CE" w14:textId="45477642" w:rsidR="000C7659" w:rsidRDefault="0051455C" w:rsidP="007E1F07">
      <w:pPr>
        <w:jc w:val="both"/>
        <w:rPr>
          <w:rFonts w:ascii="Times New Roman" w:hAnsi="Times New Roman" w:cs="Times New Roman"/>
        </w:rPr>
      </w:pPr>
      <w:r>
        <w:rPr>
          <w:rFonts w:ascii="Times New Roman" w:hAnsi="Times New Roman" w:cs="Times New Roman"/>
        </w:rPr>
        <w:t>The US Census Bureau is charged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w:t>
      </w:r>
      <w:r w:rsidR="00FB6BBD">
        <w:rPr>
          <w:rFonts w:ascii="Times New Roman" w:hAnsi="Times New Roman" w:cs="Times New Roman"/>
        </w:rPr>
        <w:t xml:space="preserve"> </w:t>
      </w:r>
      <w:r w:rsidR="00FB6BBD">
        <w:rPr>
          <w:rFonts w:ascii="Times New Roman" w:hAnsi="Times New Roman" w:cs="Times New Roman"/>
        </w:rPr>
        <w:fldChar w:fldCharType="begin"/>
      </w:r>
      <w:r w:rsidR="00FB6BBD">
        <w:rPr>
          <w:rFonts w:ascii="Times New Roman" w:hAnsi="Times New Roman" w:cs="Times New Roman"/>
        </w:rPr>
        <w:instrText xml:space="preserve"> ADDIN ZOTERO_ITEM CSL_CITATION {"citationID":"PoNsEgRB","properties":{"formattedCitation":"\\super 5\\nosupersub{}","plainCitation":"5","noteIndex":0},"citationItems":[{"id":1346,"uris":["http://zotero.org/users/4849625/items/ZPJREHUM"],"uri":["http://zotero.org/users/4849625/items/ZPJREHUM"],"itemData":{"id":1346,"type":"article-journal","container-title":"Journal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sidR="00FB6BBD">
        <w:rPr>
          <w:rFonts w:ascii="Times New Roman" w:hAnsi="Times New Roman" w:cs="Times New Roman"/>
        </w:rPr>
        <w:fldChar w:fldCharType="separate"/>
      </w:r>
      <w:r w:rsidR="00FB6BBD" w:rsidRPr="00FB6BBD">
        <w:rPr>
          <w:rFonts w:ascii="Times New Roman" w:hAnsi="Times New Roman" w:cs="Times New Roman"/>
          <w:szCs w:val="24"/>
          <w:vertAlign w:val="superscript"/>
        </w:rPr>
        <w:t>5</w:t>
      </w:r>
      <w:r w:rsidR="00FB6BBD">
        <w:rPr>
          <w:rFonts w:ascii="Times New Roman" w:hAnsi="Times New Roman" w:cs="Times New Roman"/>
        </w:rPr>
        <w:fldChar w:fldCharType="end"/>
      </w:r>
      <w:r w:rsidR="00806A55">
        <w:rPr>
          <w:rFonts w:ascii="Times New Roman" w:hAnsi="Times New Roman" w:cs="Times New Roman"/>
        </w:rPr>
        <w:t>.</w:t>
      </w:r>
      <w:r>
        <w:rPr>
          <w:rFonts w:ascii="Times New Roman" w:hAnsi="Times New Roman" w:cs="Times New Roman"/>
        </w:rPr>
        <w:t xml:space="preserve"> Starting with Census 2020, the US Census Bureau plans to “modernize” its disclosure avoidance practices using DP</w:t>
      </w:r>
      <w:r w:rsidR="00835DD7">
        <w:rPr>
          <w:rFonts w:ascii="Times New Roman" w:hAnsi="Times New Roman" w:cs="Times New Roman"/>
        </w:rPr>
        <w:t xml:space="preserve"> </w:t>
      </w:r>
      <w:r w:rsidR="00835DD7">
        <w:rPr>
          <w:rFonts w:ascii="Times New Roman" w:hAnsi="Times New Roman" w:cs="Times New Roman"/>
        </w:rPr>
        <w:fldChar w:fldCharType="begin"/>
      </w:r>
      <w:r w:rsidR="00835DD7">
        <w:rPr>
          <w:rFonts w:ascii="Times New Roman" w:hAnsi="Times New Roman" w:cs="Times New Roman"/>
        </w:rPr>
        <w:instrText xml:space="preserve"> ADDIN ZOTERO_ITEM CSL_CITATION {"citationID":"ZauONw6H","properties":{"formattedCitation":"\\super 6\\nosupersub{}","plainCitation":"6","noteIndex":0},"citationItems":[{"id":1347,"uris":["http://zotero.org/users/4849625/items/M7YQXB9D"],"uri":["http://zotero.org/users/4849625/items/M7YQXB9D"],"itemData":{"id":1347,"type":"paper-conference","container-title":"AEA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sidR="00835DD7">
        <w:rPr>
          <w:rFonts w:ascii="Times New Roman" w:hAnsi="Times New Roman" w:cs="Times New Roman"/>
        </w:rPr>
        <w:fldChar w:fldCharType="separate"/>
      </w:r>
      <w:r w:rsidR="00835DD7" w:rsidRPr="00835DD7">
        <w:rPr>
          <w:rFonts w:ascii="Times New Roman" w:hAnsi="Times New Roman" w:cs="Times New Roman"/>
          <w:szCs w:val="24"/>
          <w:vertAlign w:val="superscript"/>
        </w:rPr>
        <w:t>6</w:t>
      </w:r>
      <w:r w:rsidR="00835DD7">
        <w:rPr>
          <w:rFonts w:ascii="Times New Roman" w:hAnsi="Times New Roman" w:cs="Times New Roman"/>
        </w:rPr>
        <w:fldChar w:fldCharType="end"/>
      </w:r>
      <w:r>
        <w:rPr>
          <w:rFonts w:ascii="Times New Roman" w:hAnsi="Times New Roman" w:cs="Times New Roman"/>
        </w:rPr>
        <w:t xml:space="preserve">. </w:t>
      </w:r>
      <w:r w:rsidR="00A81B74">
        <w:rPr>
          <w:rFonts w:ascii="Times New Roman" w:hAnsi="Times New Roman" w:cs="Times New Roman"/>
        </w:rPr>
        <w:t>This is the first large-scale, Census based implementation of differential privacy in the history of this methodology and represents a monumental sea-change in population statistics  [CITE].</w:t>
      </w:r>
    </w:p>
    <w:p w14:paraId="47298DDE" w14:textId="7D89BBF9" w:rsidR="000631F8" w:rsidRDefault="00897D6B" w:rsidP="007E1F07">
      <w:pPr>
        <w:jc w:val="both"/>
        <w:rPr>
          <w:rFonts w:ascii="Times New Roman" w:hAnsi="Times New Roman" w:cs="Times New Roman"/>
        </w:rPr>
      </w:pPr>
      <w:r>
        <w:rPr>
          <w:rFonts w:ascii="Times New Roman" w:hAnsi="Times New Roman" w:cs="Times New Roman"/>
        </w:rPr>
        <w:t xml:space="preserve">Under the Census Bureau’s proposed DP algorithm, population counts will be subject to noise infusion, drawn from a statistical distribution. </w:t>
      </w:r>
      <w:r>
        <w:rPr>
          <w:rFonts w:ascii="Times New Roman" w:hAnsi="Times New Roman" w:cs="Times New Roman"/>
        </w:rPr>
        <w:t>The DP algorithm</w:t>
      </w:r>
      <w:r w:rsidR="00B5702E" w:rsidRPr="00AA526E">
        <w:rPr>
          <w:rFonts w:ascii="Times New Roman" w:hAnsi="Times New Roman" w:cs="Times New Roman"/>
        </w:rPr>
        <w:t xml:space="preserve"> operates by adding or subtracting random</w:t>
      </w:r>
      <w:r w:rsidR="007700A9">
        <w:rPr>
          <w:rFonts w:ascii="Times New Roman" w:hAnsi="Times New Roman" w:cs="Times New Roman"/>
        </w:rPr>
        <w:t xml:space="preserve"> numerical </w:t>
      </w:r>
      <w:r w:rsidR="004E4319">
        <w:rPr>
          <w:rFonts w:ascii="Times New Roman" w:hAnsi="Times New Roman" w:cs="Times New Roman"/>
        </w:rPr>
        <w:t>values</w:t>
      </w:r>
      <w:r w:rsidR="007700A9">
        <w:rPr>
          <w:rFonts w:ascii="Times New Roman" w:hAnsi="Times New Roman" w:cs="Times New Roman"/>
        </w:rPr>
        <w:t xml:space="preserve"> to “true” population data</w:t>
      </w:r>
      <w:r w:rsidR="004E4319">
        <w:rPr>
          <w:rFonts w:ascii="Times New Roman" w:hAnsi="Times New Roman" w:cs="Times New Roman"/>
        </w:rPr>
        <w:t xml:space="preserve">, </w:t>
      </w:r>
      <w:r w:rsidR="00DE6002">
        <w:rPr>
          <w:rFonts w:ascii="Times New Roman" w:hAnsi="Times New Roman" w:cs="Times New Roman"/>
        </w:rPr>
        <w:t>under</w:t>
      </w:r>
      <w:r w:rsidR="004E4319">
        <w:rPr>
          <w:rFonts w:ascii="Times New Roman" w:hAnsi="Times New Roman" w:cs="Times New Roman"/>
        </w:rPr>
        <w:t xml:space="preserve"> a specific privacy budget</w:t>
      </w:r>
      <w:r w:rsidR="00B5702E" w:rsidRPr="004E2D6B">
        <w:rPr>
          <w:rFonts w:ascii="Times New Roman" w:hAnsi="Times New Roman" w:cs="Times New Roman"/>
        </w:rPr>
        <w:t xml:space="preserve">. </w:t>
      </w:r>
      <w:r w:rsidR="008C6277">
        <w:rPr>
          <w:rFonts w:ascii="Times New Roman" w:hAnsi="Times New Roman" w:cs="Times New Roman"/>
        </w:rPr>
        <w:t>To</w:t>
      </w:r>
      <w:r w:rsidR="00AA526E" w:rsidRPr="004E2D6B">
        <w:rPr>
          <w:rFonts w:ascii="Times New Roman" w:hAnsi="Times New Roman" w:cs="Times New Roman"/>
        </w:rPr>
        <w:t xml:space="preserve"> illustrate how DP alters</w:t>
      </w:r>
      <w:r w:rsidR="004E2D6B" w:rsidRPr="004E2D6B">
        <w:rPr>
          <w:rFonts w:ascii="Times New Roman" w:hAnsi="Times New Roman" w:cs="Times New Roman"/>
        </w:rPr>
        <w:t xml:space="preserve"> population counts</w:t>
      </w:r>
      <w:r w:rsidR="008C6277">
        <w:rPr>
          <w:rFonts w:ascii="Times New Roman" w:hAnsi="Times New Roman" w:cs="Times New Roman"/>
        </w:rPr>
        <w:t>,</w:t>
      </w:r>
      <w:r w:rsidR="004E2D6B" w:rsidRPr="004E2D6B">
        <w:rPr>
          <w:rFonts w:ascii="Times New Roman" w:hAnsi="Times New Roman" w:cs="Times New Roman"/>
        </w:rPr>
        <w:t xml:space="preserve"> </w:t>
      </w:r>
      <w:r w:rsidR="00B5702E" w:rsidRPr="00B75D71">
        <w:rPr>
          <w:rFonts w:ascii="Times New Roman" w:hAnsi="Times New Roman" w:cs="Times New Roman"/>
          <w:b/>
          <w:bCs/>
        </w:rPr>
        <w:t>Figure 1</w:t>
      </w:r>
      <w:r w:rsidR="00B5702E" w:rsidRPr="00783A55">
        <w:rPr>
          <w:rFonts w:ascii="Times New Roman" w:hAnsi="Times New Roman" w:cs="Times New Roman"/>
        </w:rPr>
        <w:t xml:space="preserve"> shows age-sex structures </w:t>
      </w:r>
      <w:r w:rsidR="00B5702E">
        <w:rPr>
          <w:rFonts w:ascii="Times New Roman" w:hAnsi="Times New Roman" w:cs="Times New Roman"/>
        </w:rPr>
        <w:t xml:space="preserve">from 2010 population counts (gray pyramids) and </w:t>
      </w:r>
      <w:r w:rsidR="008C6277">
        <w:rPr>
          <w:rFonts w:ascii="Times New Roman" w:hAnsi="Times New Roman" w:cs="Times New Roman"/>
        </w:rPr>
        <w:t>20</w:t>
      </w:r>
      <w:r w:rsidR="00F8230B">
        <w:rPr>
          <w:rFonts w:ascii="Times New Roman" w:hAnsi="Times New Roman" w:cs="Times New Roman"/>
        </w:rPr>
        <w:t xml:space="preserve">10 counts from the DP demonstration product </w:t>
      </w:r>
      <w:r w:rsidR="00B5702E">
        <w:rPr>
          <w:rFonts w:ascii="Times New Roman" w:hAnsi="Times New Roman" w:cs="Times New Roman"/>
        </w:rPr>
        <w:t xml:space="preserve">for six </w:t>
      </w:r>
      <w:r w:rsidR="00E74778">
        <w:rPr>
          <w:rFonts w:ascii="Times New Roman" w:hAnsi="Times New Roman" w:cs="Times New Roman"/>
        </w:rPr>
        <w:t xml:space="preserve">sample US </w:t>
      </w:r>
      <w:r w:rsidR="00B5702E">
        <w:rPr>
          <w:rFonts w:ascii="Times New Roman" w:hAnsi="Times New Roman" w:cs="Times New Roman"/>
        </w:rPr>
        <w:t xml:space="preserve">counties (in red). In </w:t>
      </w:r>
      <w:r w:rsidR="00F8230B" w:rsidRPr="00F8230B">
        <w:rPr>
          <w:rFonts w:ascii="Times New Roman" w:hAnsi="Times New Roman" w:cs="Times New Roman"/>
          <w:b/>
          <w:bCs/>
        </w:rPr>
        <w:t>Figure</w:t>
      </w:r>
      <w:r w:rsidR="00B50C1C">
        <w:rPr>
          <w:rFonts w:ascii="Times New Roman" w:hAnsi="Times New Roman" w:cs="Times New Roman"/>
          <w:b/>
          <w:bCs/>
        </w:rPr>
        <w:t xml:space="preserve"> </w:t>
      </w:r>
      <w:r w:rsidR="00F8230B" w:rsidRPr="00F8230B">
        <w:rPr>
          <w:rFonts w:ascii="Times New Roman" w:hAnsi="Times New Roman" w:cs="Times New Roman"/>
          <w:b/>
          <w:bCs/>
        </w:rPr>
        <w:t>1</w:t>
      </w:r>
      <w:r w:rsidR="00212E79">
        <w:rPr>
          <w:rFonts w:ascii="Times New Roman" w:hAnsi="Times New Roman" w:cs="Times New Roman"/>
          <w:b/>
          <w:bCs/>
        </w:rPr>
        <w:t>a</w:t>
      </w:r>
      <w:r w:rsidR="00B5702E">
        <w:rPr>
          <w:rFonts w:ascii="Times New Roman" w:hAnsi="Times New Roman" w:cs="Times New Roman"/>
        </w:rPr>
        <w:t xml:space="preserve"> and </w:t>
      </w:r>
      <w:r w:rsidR="00212E79">
        <w:rPr>
          <w:rFonts w:ascii="Times New Roman" w:hAnsi="Times New Roman" w:cs="Times New Roman"/>
          <w:b/>
          <w:bCs/>
        </w:rPr>
        <w:t>b</w:t>
      </w:r>
      <w:r w:rsidR="00B5702E">
        <w:rPr>
          <w:rFonts w:ascii="Times New Roman" w:hAnsi="Times New Roman" w:cs="Times New Roman"/>
        </w:rPr>
        <w:t xml:space="preserve">, the changes in </w:t>
      </w:r>
      <w:r w:rsidR="00B5702E">
        <w:rPr>
          <w:rFonts w:ascii="Times New Roman" w:hAnsi="Times New Roman" w:cs="Times New Roman"/>
        </w:rPr>
        <w:lastRenderedPageBreak/>
        <w:t xml:space="preserve">age-sex structure </w:t>
      </w:r>
      <w:r w:rsidR="004D0ABB">
        <w:rPr>
          <w:rFonts w:ascii="Times New Roman" w:hAnsi="Times New Roman" w:cs="Times New Roman"/>
        </w:rPr>
        <w:t>are</w:t>
      </w:r>
      <w:r w:rsidR="00B5702E">
        <w:rPr>
          <w:rFonts w:ascii="Times New Roman" w:hAnsi="Times New Roman" w:cs="Times New Roman"/>
        </w:rPr>
        <w:t xml:space="preserve"> negligible or marginal</w:t>
      </w:r>
      <w:r w:rsidR="004D0ABB">
        <w:rPr>
          <w:rFonts w:ascii="Times New Roman" w:hAnsi="Times New Roman" w:cs="Times New Roman"/>
        </w:rPr>
        <w:t>.</w:t>
      </w:r>
      <w:r w:rsidR="00B5702E">
        <w:rPr>
          <w:rFonts w:ascii="Times New Roman" w:hAnsi="Times New Roman" w:cs="Times New Roman"/>
        </w:rPr>
        <w:t xml:space="preserve"> </w:t>
      </w:r>
      <w:r w:rsidR="00B50C1C" w:rsidRPr="00B50C1C">
        <w:rPr>
          <w:rFonts w:ascii="Times New Roman" w:hAnsi="Times New Roman" w:cs="Times New Roman"/>
          <w:b/>
          <w:bCs/>
        </w:rPr>
        <w:t>Figure</w:t>
      </w:r>
      <w:r w:rsidR="00B50C1C">
        <w:rPr>
          <w:rFonts w:ascii="Times New Roman" w:hAnsi="Times New Roman" w:cs="Times New Roman"/>
          <w:b/>
          <w:bCs/>
        </w:rPr>
        <w:t xml:space="preserve"> </w:t>
      </w:r>
      <w:r w:rsidR="00B50C1C" w:rsidRPr="00B50C1C">
        <w:rPr>
          <w:rFonts w:ascii="Times New Roman" w:hAnsi="Times New Roman" w:cs="Times New Roman"/>
          <w:b/>
          <w:bCs/>
        </w:rPr>
        <w:t>1</w:t>
      </w:r>
      <w:r w:rsidR="00212E79">
        <w:rPr>
          <w:rFonts w:ascii="Times New Roman" w:hAnsi="Times New Roman" w:cs="Times New Roman"/>
          <w:b/>
          <w:bCs/>
        </w:rPr>
        <w:t>d</w:t>
      </w:r>
      <w:r w:rsidR="00F8230B" w:rsidRPr="00F8230B">
        <w:rPr>
          <w:rFonts w:ascii="Times New Roman" w:hAnsi="Times New Roman" w:cs="Times New Roman"/>
          <w:b/>
          <w:bCs/>
        </w:rPr>
        <w:t>-</w:t>
      </w:r>
      <w:r w:rsidR="00212E79">
        <w:rPr>
          <w:rFonts w:ascii="Times New Roman" w:hAnsi="Times New Roman" w:cs="Times New Roman"/>
          <w:b/>
          <w:bCs/>
        </w:rPr>
        <w:t>f</w:t>
      </w:r>
      <w:r w:rsidR="00911339" w:rsidRPr="00911339">
        <w:rPr>
          <w:rFonts w:ascii="Times New Roman" w:hAnsi="Times New Roman" w:cs="Times New Roman"/>
        </w:rPr>
        <w:t>, however,</w:t>
      </w:r>
      <w:r w:rsidR="00F8230B">
        <w:rPr>
          <w:rFonts w:ascii="Times New Roman" w:hAnsi="Times New Roman" w:cs="Times New Roman"/>
        </w:rPr>
        <w:t xml:space="preserve"> show either one age-sex category or the entire pyramid</w:t>
      </w:r>
      <w:r w:rsidR="00B5702E">
        <w:rPr>
          <w:rFonts w:ascii="Times New Roman" w:hAnsi="Times New Roman" w:cs="Times New Roman"/>
        </w:rPr>
        <w:t xml:space="preserve"> substantially altered.</w:t>
      </w:r>
      <w:r w:rsidR="00911339">
        <w:rPr>
          <w:rFonts w:ascii="Times New Roman" w:hAnsi="Times New Roman" w:cs="Times New Roman"/>
        </w:rPr>
        <w:t xml:space="preserve"> </w:t>
      </w:r>
      <w:r w:rsidR="00F8230B">
        <w:rPr>
          <w:rFonts w:ascii="Times New Roman" w:hAnsi="Times New Roman" w:cs="Times New Roman"/>
        </w:rPr>
        <w:t>The differences between the</w:t>
      </w:r>
      <w:r w:rsidR="00F7299B">
        <w:rPr>
          <w:rFonts w:ascii="Times New Roman" w:hAnsi="Times New Roman" w:cs="Times New Roman"/>
        </w:rPr>
        <w:t xml:space="preserve"> underlying, “true” population counts and the noise-infused counts could lead to substantial over/</w:t>
      </w:r>
      <w:r w:rsidR="00B50C1C">
        <w:rPr>
          <w:rFonts w:ascii="Times New Roman" w:hAnsi="Times New Roman" w:cs="Times New Roman"/>
        </w:rPr>
        <w:t xml:space="preserve">under </w:t>
      </w:r>
      <w:r w:rsidR="00A81B74">
        <w:rPr>
          <w:rFonts w:ascii="Times New Roman" w:hAnsi="Times New Roman" w:cs="Times New Roman"/>
        </w:rPr>
        <w:t>estimation</w:t>
      </w:r>
      <w:r w:rsidR="00F7299B">
        <w:rPr>
          <w:rFonts w:ascii="Times New Roman" w:hAnsi="Times New Roman" w:cs="Times New Roman"/>
        </w:rPr>
        <w:t xml:space="preserve"> of COVID-19 rates, dependent on the</w:t>
      </w:r>
      <w:r w:rsidR="00212E79">
        <w:rPr>
          <w:rFonts w:ascii="Times New Roman" w:hAnsi="Times New Roman" w:cs="Times New Roman"/>
        </w:rPr>
        <w:t xml:space="preserve"> divergence between the two.</w:t>
      </w:r>
    </w:p>
    <w:p w14:paraId="0A34B0A7" w14:textId="51F6F275" w:rsidR="008778E9" w:rsidRDefault="00B519BC" w:rsidP="00610E46">
      <w:pPr>
        <w:jc w:val="both"/>
        <w:rPr>
          <w:rFonts w:ascii="Times New Roman" w:hAnsi="Times New Roman" w:cs="Times New Roman"/>
        </w:rPr>
      </w:pPr>
      <w:r>
        <w:rPr>
          <w:rFonts w:ascii="Times New Roman" w:hAnsi="Times New Roman" w:cs="Times New Roman"/>
        </w:rPr>
        <w:t>Accurate population counts are just as important as accurate</w:t>
      </w:r>
      <w:r w:rsidR="00670657">
        <w:rPr>
          <w:rFonts w:ascii="Times New Roman" w:hAnsi="Times New Roman" w:cs="Times New Roman"/>
        </w:rPr>
        <w:t xml:space="preserve"> COVID-19 related</w:t>
      </w:r>
      <w:r>
        <w:rPr>
          <w:rFonts w:ascii="Times New Roman" w:hAnsi="Times New Roman" w:cs="Times New Roman"/>
        </w:rPr>
        <w:t xml:space="preserve"> counts for the calculation of COVID-19 </w:t>
      </w:r>
      <w:r w:rsidR="008138D6">
        <w:rPr>
          <w:rFonts w:ascii="Times New Roman" w:hAnsi="Times New Roman" w:cs="Times New Roman"/>
        </w:rPr>
        <w:t>rates</w:t>
      </w:r>
      <w:r w:rsidR="002C2A44">
        <w:rPr>
          <w:rFonts w:ascii="Times New Roman" w:hAnsi="Times New Roman" w:cs="Times New Roman"/>
        </w:rPr>
        <w:t xml:space="preserve"> and </w:t>
      </w:r>
      <w:r w:rsidR="00807F63">
        <w:rPr>
          <w:rFonts w:ascii="Times New Roman" w:hAnsi="Times New Roman" w:cs="Times New Roman"/>
        </w:rPr>
        <w:t xml:space="preserve">after the release of Census 2020 data </w:t>
      </w:r>
      <w:r w:rsidR="002C2A44">
        <w:rPr>
          <w:rFonts w:ascii="Times New Roman" w:hAnsi="Times New Roman" w:cs="Times New Roman"/>
        </w:rPr>
        <w:t xml:space="preserve">we fear DP will render </w:t>
      </w:r>
      <w:r w:rsidR="00807F63">
        <w:rPr>
          <w:rFonts w:ascii="Times New Roman" w:hAnsi="Times New Roman" w:cs="Times New Roman"/>
        </w:rPr>
        <w:t>most COVID-19 rates</w:t>
      </w:r>
      <w:r w:rsidR="007F784E">
        <w:rPr>
          <w:rFonts w:ascii="Times New Roman" w:hAnsi="Times New Roman" w:cs="Times New Roman"/>
        </w:rPr>
        <w:t xml:space="preserve"> </w:t>
      </w:r>
      <w:r w:rsidR="005D1A20">
        <w:rPr>
          <w:rFonts w:ascii="Times New Roman" w:hAnsi="Times New Roman" w:cs="Times New Roman"/>
        </w:rPr>
        <w:t>confused</w:t>
      </w:r>
      <w:r w:rsidR="002C2A44">
        <w:rPr>
          <w:rFonts w:ascii="Times New Roman" w:hAnsi="Times New Roman" w:cs="Times New Roman"/>
        </w:rPr>
        <w:t xml:space="preserve"> at best and</w:t>
      </w:r>
      <w:r w:rsidR="005D1A20">
        <w:rPr>
          <w:rFonts w:ascii="Times New Roman" w:hAnsi="Times New Roman" w:cs="Times New Roman"/>
        </w:rPr>
        <w:t xml:space="preserve"> highly inaccurate at worst</w:t>
      </w:r>
      <w:r w:rsidR="000A5B07">
        <w:rPr>
          <w:rFonts w:ascii="Times New Roman" w:hAnsi="Times New Roman" w:cs="Times New Roman"/>
        </w:rPr>
        <w:t>.</w:t>
      </w:r>
      <w:r w:rsidR="005D1A20">
        <w:rPr>
          <w:rFonts w:ascii="Times New Roman" w:hAnsi="Times New Roman" w:cs="Times New Roman"/>
        </w:rPr>
        <w:t xml:space="preserve"> </w:t>
      </w:r>
      <w:r w:rsidR="000A5B07">
        <w:rPr>
          <w:rFonts w:ascii="Times New Roman" w:hAnsi="Times New Roman" w:cs="Times New Roman"/>
        </w:rPr>
        <w:t>The implementation of DP</w:t>
      </w:r>
      <w:r w:rsidR="005822E7">
        <w:rPr>
          <w:rFonts w:ascii="Times New Roman" w:hAnsi="Times New Roman" w:cs="Times New Roman"/>
        </w:rPr>
        <w:t>, as proposed,</w:t>
      </w:r>
      <w:r w:rsidR="008814A4">
        <w:rPr>
          <w:rFonts w:ascii="Times New Roman" w:hAnsi="Times New Roman" w:cs="Times New Roman"/>
        </w:rPr>
        <w:t xml:space="preserve"> </w:t>
      </w:r>
      <w:r w:rsidR="000A5B07">
        <w:rPr>
          <w:rFonts w:ascii="Times New Roman" w:hAnsi="Times New Roman" w:cs="Times New Roman"/>
        </w:rPr>
        <w:t xml:space="preserve">will substantially reduce our understanding of </w:t>
      </w:r>
      <w:r w:rsidR="008138D6">
        <w:rPr>
          <w:rFonts w:ascii="Times New Roman" w:hAnsi="Times New Roman" w:cs="Times New Roman"/>
        </w:rPr>
        <w:t>the pandemic’s</w:t>
      </w:r>
      <w:r w:rsidR="000A5B07">
        <w:rPr>
          <w:rFonts w:ascii="Times New Roman" w:hAnsi="Times New Roman" w:cs="Times New Roman"/>
        </w:rPr>
        <w:t xml:space="preserve"> dynamics for rural areas</w:t>
      </w:r>
      <w:r w:rsidR="00807F63">
        <w:rPr>
          <w:rFonts w:ascii="Times New Roman" w:hAnsi="Times New Roman" w:cs="Times New Roman"/>
        </w:rPr>
        <w:t>,</w:t>
      </w:r>
      <w:r w:rsidR="000A5B07">
        <w:rPr>
          <w:rFonts w:ascii="Times New Roman" w:hAnsi="Times New Roman" w:cs="Times New Roman"/>
        </w:rPr>
        <w:t xml:space="preserve"> racial/ethnic minorities</w:t>
      </w:r>
      <w:r w:rsidR="00807F63">
        <w:rPr>
          <w:rFonts w:ascii="Times New Roman" w:hAnsi="Times New Roman" w:cs="Times New Roman"/>
        </w:rPr>
        <w:t>, and age groups</w:t>
      </w:r>
      <w:r w:rsidR="000A5B07">
        <w:rPr>
          <w:rFonts w:ascii="Times New Roman" w:hAnsi="Times New Roman" w:cs="Times New Roman"/>
        </w:rPr>
        <w:t>.</w:t>
      </w:r>
      <w:r w:rsidR="00CD37A1">
        <w:rPr>
          <w:rFonts w:ascii="Times New Roman" w:hAnsi="Times New Roman" w:cs="Times New Roman"/>
        </w:rPr>
        <w:t xml:space="preserve"> </w:t>
      </w:r>
    </w:p>
    <w:p w14:paraId="018787D0" w14:textId="176F4113" w:rsidR="008778E9" w:rsidRDefault="008778E9" w:rsidP="008778E9">
      <w:pPr>
        <w:jc w:val="both"/>
        <w:rPr>
          <w:rFonts w:ascii="Times New Roman" w:hAnsi="Times New Roman" w:cs="Times New Roman"/>
        </w:rPr>
      </w:pPr>
      <w:r>
        <w:rPr>
          <w:rFonts w:ascii="Times New Roman" w:hAnsi="Times New Roman" w:cs="Times New Roman"/>
        </w:rPr>
        <w:t xml:space="preserve">To demonstrate the extent to which DP </w:t>
      </w:r>
      <w:r w:rsidR="00347B8D">
        <w:rPr>
          <w:rFonts w:ascii="Times New Roman" w:hAnsi="Times New Roman" w:cs="Times New Roman"/>
        </w:rPr>
        <w:t>could</w:t>
      </w:r>
      <w:r>
        <w:rPr>
          <w:rFonts w:ascii="Times New Roman" w:hAnsi="Times New Roman" w:cs="Times New Roman"/>
        </w:rPr>
        <w:t xml:space="preserve"> distort COVID-19 rates</w:t>
      </w:r>
      <w:r w:rsidR="004A53FC">
        <w:rPr>
          <w:rFonts w:ascii="Times New Roman" w:hAnsi="Times New Roman" w:cs="Times New Roman"/>
        </w:rPr>
        <w:t xml:space="preserve"> by age-sex and by race</w:t>
      </w:r>
      <w:r>
        <w:rPr>
          <w:rFonts w:ascii="Times New Roman" w:hAnsi="Times New Roman" w:cs="Times New Roman"/>
        </w:rPr>
        <w:t xml:space="preserve">, we combine the US Census Bureau’s DP demonstration products </w:t>
      </w:r>
      <w:r>
        <w:rPr>
          <w:rFonts w:ascii="Times New Roman" w:hAnsi="Times New Roman" w:cs="Times New Roman"/>
        </w:rPr>
        <w:fldChar w:fldCharType="begin" w:fldLock="1"/>
      </w:r>
      <w:r w:rsidR="00835DD7">
        <w:rPr>
          <w:rFonts w:ascii="Times New Roman" w:hAnsi="Times New Roman" w:cs="Times New Roman"/>
        </w:rPr>
        <w:instrText xml:space="preserve"> ADDIN ZOTERO_ITEM CSL_CITATION {"citationID":"ZHQZpnhg","properties":{"formattedCitation":"\\super 7\\nosupersub{}","plainCitation":"7","noteIndex":0},"citationItems":[{"id":"IvsHIEEG/zOX768E7","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835DD7" w:rsidRPr="00835DD7">
        <w:rPr>
          <w:rFonts w:ascii="Times New Roman" w:hAnsi="Times New Roman" w:cs="Times New Roman"/>
          <w:szCs w:val="24"/>
          <w:vertAlign w:val="superscript"/>
        </w:rPr>
        <w:t>7</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FB6BBD">
        <w:rPr>
          <w:rFonts w:ascii="Times New Roman" w:hAnsi="Times New Roman" w:cs="Times New Roman"/>
        </w:rPr>
        <w:instrText xml:space="preserve"> ADDIN ZOTERO_ITEM CSL_CITATION {"citationID":"Jmd3ymNB","properties":{"formattedCitation":"\\super 1\\nosupersub{}","plainCitation":"1","noteIndex":0},"citationItems":[{"id":"IvsHIEEG/kPAbXMWZ","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Pr="00D021CC">
        <w:rPr>
          <w:rFonts w:ascii="Times New Roman" w:hAnsi="Times New Roman" w:cs="Times New Roman"/>
          <w:szCs w:val="24"/>
          <w:vertAlign w:val="superscript"/>
        </w:rPr>
        <w:t>1</w:t>
      </w:r>
      <w:r>
        <w:rPr>
          <w:rFonts w:ascii="Times New Roman" w:hAnsi="Times New Roman" w:cs="Times New Roman"/>
        </w:rPr>
        <w:fldChar w:fldCharType="end"/>
      </w:r>
      <w:r>
        <w:rPr>
          <w:rFonts w:ascii="Times New Roman" w:hAnsi="Times New Roman" w:cs="Times New Roman"/>
        </w:rPr>
        <w:t xml:space="preserve"> and the United Kingdom [CITE]. This allows us to simulate the difference between hypothetical mortality rate calculations using counts produced with DP from population counts produced using current methods. </w:t>
      </w:r>
    </w:p>
    <w:p w14:paraId="7BEDCCA2" w14:textId="6F929417"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2a</w:t>
      </w:r>
      <w:r>
        <w:rPr>
          <w:rFonts w:ascii="Times New Roman" w:hAnsi="Times New Roman" w:cs="Times New Roman"/>
        </w:rPr>
        <w:t xml:space="preserve"> shows the distortion of COVID-19 age-sex specific mortality rates by population size for US counties using the 2010 demonstration products. We calculate absolute error for each county-age-sex combination.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Pr="00DD4F35">
        <w:rPr>
          <w:rFonts w:ascii="Times New Roman" w:hAnsi="Times New Roman" w:cs="Times New Roman"/>
          <w:b/>
          <w:bCs/>
        </w:rPr>
        <w:t xml:space="preserve">Figure </w:t>
      </w:r>
      <w:r w:rsidR="00212E79">
        <w:rPr>
          <w:rFonts w:ascii="Times New Roman" w:hAnsi="Times New Roman" w:cs="Times New Roman"/>
          <w:b/>
          <w:bCs/>
        </w:rPr>
        <w:t>3</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the COVID-19 calculated rate would 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riddled with error for large segments of the country.</w:t>
      </w:r>
    </w:p>
    <w:p w14:paraId="36B06C98" w14:textId="6C0511ED" w:rsidR="00F17405" w:rsidRPr="000235F9" w:rsidRDefault="000753F2" w:rsidP="006A601B">
      <w:pPr>
        <w:jc w:val="both"/>
        <w:rPr>
          <w:rFonts w:ascii="Times New Roman" w:hAnsi="Times New Roman" w:cs="Times New Roman"/>
        </w:rPr>
      </w:pPr>
      <w:commentRangeStart w:id="5"/>
      <w:r w:rsidRPr="000235F9">
        <w:rPr>
          <w:rFonts w:ascii="Times New Roman" w:hAnsi="Times New Roman" w:cs="Times New Roman"/>
          <w:highlight w:val="yellow"/>
        </w:rPr>
        <w:t>Recent research has found that mortality rates for racial/ethnic minorities are distorted by the implementation of DP</w:t>
      </w:r>
      <w:r w:rsidR="00835DD7">
        <w:rPr>
          <w:rFonts w:ascii="Times New Roman" w:hAnsi="Times New Roman" w:cs="Times New Roman"/>
          <w:highlight w:val="yellow"/>
        </w:rPr>
        <w:t xml:space="preserve"> </w:t>
      </w:r>
      <w:r w:rsidR="00835DD7">
        <w:rPr>
          <w:rFonts w:ascii="Times New Roman" w:hAnsi="Times New Roman" w:cs="Times New Roman"/>
          <w:highlight w:val="yellow"/>
        </w:rPr>
        <w:fldChar w:fldCharType="begin"/>
      </w:r>
      <w:r w:rsidR="00835DD7">
        <w:rPr>
          <w:rFonts w:ascii="Times New Roman" w:hAnsi="Times New Roman" w:cs="Times New Roman"/>
          <w:highlight w:val="yellow"/>
        </w:rPr>
        <w:instrText xml:space="preserve"> ADDIN ZOTERO_ITEM CSL_CITATION {"citationID":"GdbR7GUe","properties":{"formattedCitation":"\\super 8\\nosupersub{}","plainCitation":"8","noteIndex":0},"citationItems":[{"id":1206,"uris":["http://zotero.org/users/4849625/items/E7AE4EWP"],"uri":["http://zotero.org/users/4849625/items/E7AE4EWP"],"itemData":{"id":1206,"type":"article-journal","abstract":"The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00835DD7">
        <w:rPr>
          <w:rFonts w:ascii="Times New Roman" w:hAnsi="Times New Roman" w:cs="Times New Roman"/>
          <w:highlight w:val="yellow"/>
        </w:rPr>
        <w:fldChar w:fldCharType="separate"/>
      </w:r>
      <w:r w:rsidR="00835DD7" w:rsidRPr="00835DD7">
        <w:rPr>
          <w:rFonts w:ascii="Times New Roman" w:hAnsi="Times New Roman" w:cs="Times New Roman"/>
          <w:szCs w:val="24"/>
          <w:vertAlign w:val="superscript"/>
        </w:rPr>
        <w:t>8</w:t>
      </w:r>
      <w:r w:rsidR="00835DD7">
        <w:rPr>
          <w:rFonts w:ascii="Times New Roman" w:hAnsi="Times New Roman" w:cs="Times New Roman"/>
          <w:highlight w:val="yellow"/>
        </w:rPr>
        <w:fldChar w:fldCharType="end"/>
      </w:r>
      <w:r w:rsidRPr="000235F9">
        <w:rPr>
          <w:rFonts w:ascii="Times New Roman" w:hAnsi="Times New Roman" w:cs="Times New Roman"/>
          <w:highlight w:val="yellow"/>
        </w:rPr>
        <w:t xml:space="preserve"> . We ask, whether the implementation of DP will hinder our understanding of COVID-19 and subsequent public health crises more for racial/ethnic minorities in the US?</w:t>
      </w:r>
      <w:r>
        <w:rPr>
          <w:rFonts w:ascii="Times New Roman" w:hAnsi="Times New Roman" w:cs="Times New Roman"/>
        </w:rPr>
        <w:t xml:space="preserve"> </w:t>
      </w:r>
      <w:commentRangeEnd w:id="5"/>
      <w:r w:rsidR="000235F9">
        <w:rPr>
          <w:rStyle w:val="CommentReference"/>
        </w:rPr>
        <w:commentReference w:id="5"/>
      </w:r>
      <w:r w:rsidR="00A920B4">
        <w:rPr>
          <w:rFonts w:ascii="Times New Roman" w:hAnsi="Times New Roman" w:cs="Times New Roman"/>
        </w:rPr>
        <w:t xml:space="preserve">This distortion is not limited to age-sex </w:t>
      </w:r>
      <w:r w:rsidR="00220AD2">
        <w:rPr>
          <w:rFonts w:ascii="Times New Roman" w:hAnsi="Times New Roman" w:cs="Times New Roman"/>
        </w:rPr>
        <w:t>population groupings but impacts race-specific analyses too</w:t>
      </w:r>
      <w:r w:rsidR="00220AD2" w:rsidRPr="003109B6">
        <w:rPr>
          <w:rFonts w:ascii="Times New Roman" w:hAnsi="Times New Roman" w:cs="Times New Roman"/>
          <w:b/>
          <w:bCs/>
        </w:rPr>
        <w:t>. Figure 3</w:t>
      </w:r>
      <w:r w:rsidR="00220AD2">
        <w:rPr>
          <w:rFonts w:ascii="Times New Roman" w:hAnsi="Times New Roman" w:cs="Times New Roman"/>
        </w:rPr>
        <w:t xml:space="preserve"> shows the distortion of COVID-19 race 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Much like with age-sex specific mortality, error increases 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Only White, Non-Hispanic ha</w:t>
      </w:r>
      <w:r w:rsidR="00B82C99">
        <w:rPr>
          <w:rFonts w:ascii="Times New Roman" w:hAnsi="Times New Roman" w:cs="Times New Roman"/>
        </w:rPr>
        <w:t>s</w:t>
      </w:r>
      <w:r w:rsidR="00E76034">
        <w:rPr>
          <w:rFonts w:ascii="Times New Roman" w:hAnsi="Times New Roman" w:cs="Times New Roman"/>
        </w:rPr>
        <w:t xml:space="preserve"> the lowest error,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 still exhibi</w:t>
      </w:r>
      <w:r w:rsidR="001462F5">
        <w:rPr>
          <w:rFonts w:ascii="Times New Roman" w:hAnsi="Times New Roman" w:cs="Times New Roman"/>
        </w:rPr>
        <w:t>t median errors in excess of 15%.</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1C00D922" w:rsidR="002B5253" w:rsidRDefault="002B5253" w:rsidP="002B5253">
      <w:pPr>
        <w:jc w:val="both"/>
        <w:rPr>
          <w:rFonts w:ascii="Times New Roman" w:eastAsia="Times New Roman" w:hAnsi="Times New Roman" w:cs="Times New Roman"/>
          <w:sz w:val="24"/>
          <w:szCs w:val="24"/>
        </w:rPr>
      </w:pPr>
      <w:r w:rsidRPr="00BD1D07">
        <w:rPr>
          <w:rFonts w:ascii="Times New Roman" w:eastAsia="Times New Roman" w:hAnsi="Times New Roman" w:cs="Times New Roman"/>
          <w:sz w:val="24"/>
          <w:szCs w:val="24"/>
        </w:rPr>
        <w:t xml:space="preserve">We highlight how the planned, noise-infused U.S. Census data will significantly alter our understanding of </w:t>
      </w:r>
      <w:r w:rsidR="005F6138">
        <w:rPr>
          <w:rFonts w:ascii="Times New Roman" w:eastAsia="Times New Roman" w:hAnsi="Times New Roman" w:cs="Times New Roman"/>
          <w:sz w:val="24"/>
          <w:szCs w:val="24"/>
        </w:rPr>
        <w:t xml:space="preserve"> </w:t>
      </w:r>
      <w:r w:rsidRPr="00BD1D07">
        <w:rPr>
          <w:rFonts w:ascii="Times New Roman" w:eastAsia="Times New Roman" w:hAnsi="Times New Roman" w:cs="Times New Roman"/>
          <w:sz w:val="24"/>
          <w:szCs w:val="24"/>
        </w:rPr>
        <w:t>COVID-</w:t>
      </w:r>
      <w:r w:rsidR="00752D7E" w:rsidRPr="00BD1D07">
        <w:rPr>
          <w:rFonts w:ascii="Times New Roman" w:eastAsia="Times New Roman" w:hAnsi="Times New Roman" w:cs="Times New Roman"/>
          <w:sz w:val="24"/>
          <w:szCs w:val="24"/>
        </w:rPr>
        <w:t>19</w:t>
      </w:r>
      <w:r w:rsidR="00752D7E">
        <w:rPr>
          <w:rFonts w:ascii="Times New Roman" w:eastAsia="Times New Roman" w:hAnsi="Times New Roman" w:cs="Times New Roman"/>
          <w:sz w:val="24"/>
          <w:szCs w:val="24"/>
        </w:rPr>
        <w:t xml:space="preserve"> </w:t>
      </w:r>
      <w:r w:rsidR="00752D7E" w:rsidRPr="00BD1D07">
        <w:rPr>
          <w:rFonts w:ascii="Times New Roman" w:eastAsia="Times New Roman" w:hAnsi="Times New Roman" w:cs="Times New Roman"/>
          <w:sz w:val="24"/>
          <w:szCs w:val="24"/>
        </w:rPr>
        <w:t>via</w:t>
      </w:r>
      <w:r w:rsidRPr="00BD1D07">
        <w:rPr>
          <w:rFonts w:ascii="Times New Roman" w:eastAsia="Times New Roman" w:hAnsi="Times New Roman" w:cs="Times New Roman"/>
          <w:sz w:val="24"/>
          <w:szCs w:val="24"/>
        </w:rPr>
        <w:t xml:space="preserve"> </w:t>
      </w:r>
      <w:r w:rsidR="00F1332E">
        <w:rPr>
          <w:rFonts w:ascii="Times New Roman" w:eastAsia="Times New Roman" w:hAnsi="Times New Roman" w:cs="Times New Roman"/>
          <w:sz w:val="24"/>
          <w:szCs w:val="24"/>
        </w:rPr>
        <w:t>noise-infused</w:t>
      </w:r>
      <w:r w:rsidRPr="00BD1D07">
        <w:rPr>
          <w:rFonts w:ascii="Times New Roman" w:eastAsia="Times New Roman" w:hAnsi="Times New Roman" w:cs="Times New Roman"/>
          <w:sz w:val="24"/>
          <w:szCs w:val="24"/>
        </w:rPr>
        <w:t xml:space="preserve"> </w:t>
      </w:r>
      <w:r w:rsidR="001B270E">
        <w:rPr>
          <w:rFonts w:ascii="Times New Roman" w:eastAsia="Times New Roman" w:hAnsi="Times New Roman" w:cs="Times New Roman"/>
          <w:sz w:val="24"/>
          <w:szCs w:val="24"/>
        </w:rPr>
        <w:t xml:space="preserve">population </w:t>
      </w:r>
      <w:r w:rsidR="00F1332E">
        <w:rPr>
          <w:rFonts w:ascii="Times New Roman" w:eastAsia="Times New Roman" w:hAnsi="Times New Roman" w:cs="Times New Roman"/>
          <w:sz w:val="24"/>
          <w:szCs w:val="24"/>
        </w:rPr>
        <w:t>counts</w:t>
      </w:r>
      <w:r w:rsidRPr="00BD1D07">
        <w:rPr>
          <w:rFonts w:ascii="Times New Roman" w:eastAsia="Times New Roman" w:hAnsi="Times New Roman" w:cs="Times New Roman"/>
          <w:sz w:val="24"/>
          <w:szCs w:val="24"/>
        </w:rPr>
        <w:t xml:space="preserve">. Using age-sex specific COVID-19 mortality curves from Italy and Wuhan,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Pr>
          <w:rFonts w:ascii="Times New Roman" w:eastAsia="Times New Roman" w:hAnsi="Times New Roman" w:cs="Times New Roman"/>
          <w:sz w:val="24"/>
          <w:szCs w:val="24"/>
        </w:rPr>
        <w:t xml:space="preserve">approximately </w:t>
      </w:r>
      <w:r w:rsidRPr="00BD1D07">
        <w:rPr>
          <w:rFonts w:ascii="Times New Roman" w:eastAsia="Times New Roman" w:hAnsi="Times New Roman" w:cs="Times New Roman"/>
          <w:sz w:val="24"/>
          <w:szCs w:val="24"/>
        </w:rPr>
        <w:t>4</w:t>
      </w:r>
      <w:r w:rsidR="00CB0DC0">
        <w:rPr>
          <w:rFonts w:ascii="Times New Roman" w:eastAsia="Times New Roman" w:hAnsi="Times New Roman" w:cs="Times New Roman"/>
          <w:sz w:val="24"/>
          <w:szCs w:val="24"/>
        </w:rPr>
        <w:t>0</w:t>
      </w:r>
      <w:r w:rsidRPr="00BD1D07">
        <w:rPr>
          <w:rFonts w:ascii="Times New Roman" w:eastAsia="Times New Roman" w:hAnsi="Times New Roman" w:cs="Times New Roman"/>
          <w:sz w:val="24"/>
          <w:szCs w:val="24"/>
        </w:rPr>
        <w:t>% of county age-sex groupings</w:t>
      </w:r>
      <w:r>
        <w:rPr>
          <w:rFonts w:ascii="Times New Roman" w:eastAsia="Times New Roman" w:hAnsi="Times New Roman" w:cs="Times New Roman"/>
          <w:sz w:val="24"/>
          <w:szCs w:val="24"/>
        </w:rPr>
        <w:t xml:space="preserve"> and 60% of county-race groupings</w:t>
      </w:r>
      <w:r w:rsidRPr="00BD1D07">
        <w:rPr>
          <w:rFonts w:ascii="Times New Roman" w:eastAsia="Times New Roman" w:hAnsi="Times New Roman" w:cs="Times New Roman"/>
          <w:sz w:val="24"/>
          <w:szCs w:val="24"/>
        </w:rPr>
        <w:t xml:space="preserve"> containing fewer than 1000 persons. Overall, differential privacy will </w:t>
      </w:r>
      <w:r w:rsidRPr="00BD1D07">
        <w:rPr>
          <w:rFonts w:ascii="Times New Roman" w:eastAsia="Times New Roman" w:hAnsi="Times New Roman" w:cs="Times New Roman"/>
          <w:sz w:val="24"/>
          <w:szCs w:val="24"/>
        </w:rPr>
        <w:lastRenderedPageBreak/>
        <w:t xml:space="preserve">introduce significant challenges in our understanding of mortality amid </w:t>
      </w:r>
      <w:r>
        <w:rPr>
          <w:rFonts w:ascii="Times New Roman" w:eastAsia="Times New Roman" w:hAnsi="Times New Roman" w:cs="Times New Roman"/>
          <w:sz w:val="24"/>
          <w:szCs w:val="24"/>
        </w:rPr>
        <w:t>a</w:t>
      </w:r>
      <w:r w:rsidRPr="00BD1D07">
        <w:rPr>
          <w:rFonts w:ascii="Times New Roman" w:eastAsia="Times New Roman" w:hAnsi="Times New Roman" w:cs="Times New Roman"/>
          <w:sz w:val="24"/>
          <w:szCs w:val="24"/>
        </w:rPr>
        <w:t xml:space="preserve"> global pandemic</w:t>
      </w:r>
      <w:r w:rsidR="007A27DC">
        <w:rPr>
          <w:rFonts w:ascii="Times New Roman" w:eastAsia="Times New Roman" w:hAnsi="Times New Roman" w:cs="Times New Roman"/>
          <w:sz w:val="24"/>
          <w:szCs w:val="24"/>
        </w:rPr>
        <w:t xml:space="preserve"> </w:t>
      </w:r>
      <w:r w:rsidR="007A27DC" w:rsidRPr="00F1332E">
        <w:rPr>
          <w:rFonts w:ascii="Times New Roman" w:eastAsia="Times New Roman" w:hAnsi="Times New Roman" w:cs="Times New Roman"/>
          <w:sz w:val="24"/>
          <w:szCs w:val="24"/>
        </w:rPr>
        <w:t>expected to last well into 2021</w:t>
      </w:r>
      <w:r w:rsidRPr="00BD1D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58B863E" w14:textId="3A8B895D"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Census Bureau’s demonstration product currently only contains age-sex-county and race-county breakdowns and does not contain age-sex-race-county. Yet race differentials in COVID mortality are an important aspect of the pandemic</w:t>
      </w:r>
      <w:r w:rsidR="00D87D3F">
        <w:rPr>
          <w:rFonts w:ascii="Times New Roman" w:eastAsia="Times New Roman" w:hAnsi="Times New Roman" w:cs="Times New Roman"/>
          <w:sz w:val="24"/>
          <w:szCs w:val="24"/>
        </w:rPr>
        <w:t xml:space="preserve"> </w:t>
      </w:r>
      <w:r w:rsidR="00D87D3F">
        <w:rPr>
          <w:rFonts w:ascii="Times New Roman" w:eastAsia="Times New Roman" w:hAnsi="Times New Roman" w:cs="Times New Roman"/>
          <w:sz w:val="24"/>
          <w:szCs w:val="24"/>
        </w:rPr>
        <w:fldChar w:fldCharType="begin"/>
      </w:r>
      <w:r w:rsidR="00D87D3F">
        <w:rPr>
          <w:rFonts w:ascii="Times New Roman" w:eastAsia="Times New Roman" w:hAnsi="Times New Roman" w:cs="Times New Roman"/>
          <w:sz w:val="24"/>
          <w:szCs w:val="24"/>
        </w:rPr>
        <w:instrText xml:space="preserve"> ADDIN ZOTERO_ITEM CSL_CITATION {"citationID":"vjPtkJlC","properties":{"formattedCitation":"\\super 9\\nosupersub{}","plainCitation":"9","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00D87D3F">
        <w:rPr>
          <w:rFonts w:ascii="Times New Roman" w:eastAsia="Times New Roman" w:hAnsi="Times New Roman" w:cs="Times New Roman"/>
          <w:sz w:val="24"/>
          <w:szCs w:val="24"/>
        </w:rPr>
        <w:fldChar w:fldCharType="separate"/>
      </w:r>
      <w:r w:rsidR="00D87D3F" w:rsidRPr="00D87D3F">
        <w:rPr>
          <w:rFonts w:ascii="Times New Roman" w:hAnsi="Times New Roman" w:cs="Times New Roman"/>
          <w:sz w:val="24"/>
          <w:szCs w:val="24"/>
          <w:vertAlign w:val="superscript"/>
        </w:rPr>
        <w:t>9</w:t>
      </w:r>
      <w:r w:rsidR="00D87D3F">
        <w:rPr>
          <w:rFonts w:ascii="Times New Roman" w:eastAsia="Times New Roman" w:hAnsi="Times New Roman" w:cs="Times New Roman"/>
          <w:sz w:val="24"/>
          <w:szCs w:val="24"/>
        </w:rPr>
        <w:fldChar w:fldCharType="end"/>
      </w:r>
      <w:r w:rsidR="00D87D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potential errors in COVID mortality by age and sex are already significantly large and we believe analyzing COVID mortality by age-sex-race would further </w:t>
      </w:r>
      <w:r w:rsidR="00D87D3F">
        <w:rPr>
          <w:rFonts w:ascii="Times New Roman" w:eastAsia="Times New Roman" w:hAnsi="Times New Roman" w:cs="Times New Roman"/>
          <w:sz w:val="24"/>
          <w:szCs w:val="24"/>
        </w:rPr>
        <w:t>reduce</w:t>
      </w:r>
      <w:r>
        <w:rPr>
          <w:rFonts w:ascii="Times New Roman" w:eastAsia="Times New Roman" w:hAnsi="Times New Roman" w:cs="Times New Roman"/>
          <w:sz w:val="24"/>
          <w:szCs w:val="24"/>
        </w:rPr>
        <w:t xml:space="preserve"> cell sizes, ensuring an eve</w:t>
      </w:r>
      <w:r w:rsidR="0089348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greater number of combinations with fewer than 1000 persons – the identified threshold with the largest errors. How are we to understand this pandemic if the very foundation upon which we calculate the most basic rates are riddled with error? How will cities, states, and the federal government effectively manage the current or future pandemics if important denominators are untrustworthy? If we cannot parse out the noise from the true values, we are left with a muddied vision of the pandemic and our responses will further reflect that uncertainty. Journalists, scientists, and policy makers are then left to navigate this error with little, if any, guidance. </w:t>
      </w:r>
    </w:p>
    <w:p w14:paraId="52260963" w14:textId="5038136B"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some guidance, we offer recommendations for the Census Bureau and </w:t>
      </w:r>
      <w:r w:rsidR="00C00935">
        <w:rPr>
          <w:rFonts w:ascii="Times New Roman" w:eastAsia="Times New Roman" w:hAnsi="Times New Roman" w:cs="Times New Roman"/>
          <w:sz w:val="24"/>
          <w:szCs w:val="24"/>
        </w:rPr>
        <w:t>anyone calculating COVID-19 rates.</w:t>
      </w:r>
    </w:p>
    <w:p w14:paraId="0C79634F" w14:textId="0B4D8FDA"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trade off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5F6138">
        <w:rPr>
          <w:rFonts w:ascii="Times New Roman" w:hAnsi="Times New Roman" w:cs="Times New Roman"/>
        </w:rPr>
        <w:instrText xml:space="preserve"> ADDIN ZOTERO_ITEM CSL_CITATION {"citationID":"xd1Iqfg6","properties":{"formattedCitation":"\\super 10\\nosupersub{}","plainCitation":"10","noteIndex":0},"citationItems":[{"id":1349,"uris":["http://zotero.org/users/4849625/items/EBMA25Q7"],"uri":["http://zotero.org/users/4849625/items/EBMA25Q7"],"itemData":{"id":1349,"type":"article-journal","abstract":"Statistical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5F6138" w:rsidRPr="005F6138">
        <w:rPr>
          <w:rFonts w:ascii="Times New Roman" w:hAnsi="Times New Roman" w:cs="Times New Roman"/>
          <w:szCs w:val="24"/>
          <w:vertAlign w:val="superscript"/>
        </w:rPr>
        <w:t>10</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 [</w:t>
      </w:r>
      <w:commentRangeStart w:id="6"/>
      <w:r w:rsidR="00F01933" w:rsidRPr="00F01933">
        <w:rPr>
          <w:rFonts w:ascii="Times New Roman" w:hAnsi="Times New Roman" w:cs="Times New Roman"/>
          <w:highlight w:val="yellow"/>
        </w:rPr>
        <w:t>CITE</w:t>
      </w:r>
      <w:commentRangeEnd w:id="6"/>
      <w:r w:rsidR="008C5A26">
        <w:rPr>
          <w:rStyle w:val="CommentReference"/>
        </w:rPr>
        <w:commentReference w:id="6"/>
      </w:r>
      <w:r w:rsidR="00F01933">
        <w:rPr>
          <w:rFonts w:ascii="Times New Roman" w:hAnsi="Times New Roman" w:cs="Times New Roman"/>
        </w:rPr>
        <w:t>], yet its utility still needs to be assessed.</w:t>
      </w:r>
      <w:r w:rsidR="00CB0DC0">
        <w:rPr>
          <w:rFonts w:ascii="Times New Roman" w:hAnsi="Times New Roman" w:cs="Times New Roman"/>
        </w:rPr>
        <w:t xml:space="preserve"> The currently proposed algorithm sacrifices the usefulness of basic COVID-19 calculations in most counties.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p>
    <w:p w14:paraId="5A9510BA" w14:textId="504248C9" w:rsidR="00E7292D" w:rsidRDefault="00942725" w:rsidP="00CB0DC0">
      <w:pPr>
        <w:jc w:val="both"/>
        <w:rPr>
          <w:rFonts w:ascii="Times New Roman" w:hAnsi="Times New Roman" w:cs="Times New Roman"/>
        </w:rPr>
      </w:pPr>
      <w:r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with the updated Census 2020 timeline, the first products will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in the next 12 months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There is still time for the Census Bureau to continue refining thei</w:t>
      </w:r>
      <w:r w:rsidR="00C32AD3" w:rsidRPr="00785D77">
        <w:rPr>
          <w:rFonts w:ascii="Times New Roman" w:hAnsi="Times New Roman" w:cs="Times New Roman"/>
        </w:rPr>
        <w:t>r DP algorithm or improve the privacy budget to allow more stable estimates in more population groups.</w:t>
      </w:r>
      <w:r w:rsidR="008A30DB" w:rsidRPr="00785D77">
        <w:rPr>
          <w:rFonts w:ascii="Times New Roman" w:hAnsi="Times New Roman" w:cs="Times New Roman"/>
        </w:rPr>
        <w:t xml:space="preserve"> </w:t>
      </w:r>
    </w:p>
    <w:p w14:paraId="7CDC7C34" w14:textId="1F8F0CE7" w:rsidR="00E7292D" w:rsidRDefault="008A30DB" w:rsidP="00E7292D">
      <w:pPr>
        <w:jc w:val="both"/>
        <w:rPr>
          <w:rFonts w:ascii="Times New Roman" w:eastAsia="Times New Roman" w:hAnsi="Times New Roman" w:cs="Times New Roman"/>
          <w:sz w:val="24"/>
          <w:szCs w:val="24"/>
        </w:rPr>
      </w:pPr>
      <w:r w:rsidRPr="00785D77">
        <w:rPr>
          <w:rFonts w:ascii="Times New Roman" w:hAnsi="Times New Roman" w:cs="Times New Roman"/>
        </w:rPr>
        <w:t>The decisions the Census Bureau makes now will have long-term repercussions for what we can learn about COVID-19.</w:t>
      </w:r>
      <w:r w:rsidR="009A196B" w:rsidRPr="00785D77">
        <w:rPr>
          <w:rFonts w:ascii="Times New Roman" w:hAnsi="Times New Roman" w:cs="Times New Roman"/>
        </w:rPr>
        <w:t xml:space="preserve"> </w:t>
      </w:r>
      <w:r w:rsidR="00E7292D">
        <w:rPr>
          <w:rFonts w:ascii="Times New Roman" w:eastAsia="Times New Roman" w:hAnsi="Times New Roman" w:cs="Times New Roman"/>
          <w:sz w:val="24"/>
          <w:szCs w:val="24"/>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 during the next major global pandemic, as we demonstrate here, any statistical measures arising from the United States will be far less meaningful due to the purposeful injection of noise in the very building blocks of COVID-19 rates. The US Census Bureau should consider alterative datasets or alternative disclosure avoidance systems during this historical pandemic.</w:t>
      </w:r>
      <w:r w:rsidR="00C26A41" w:rsidRPr="00C26A41">
        <w:rPr>
          <w:rFonts w:ascii="Times New Roman" w:hAnsi="Times New Roman" w:cs="Times New Roman"/>
        </w:rPr>
        <w:t xml:space="preserve"> </w:t>
      </w:r>
      <w:r w:rsidR="00C26A41">
        <w:rPr>
          <w:rFonts w:ascii="Times New Roman" w:hAnsi="Times New Roman" w:cs="Times New Roman"/>
        </w:rPr>
        <w:t>I</w:t>
      </w:r>
      <w:r w:rsidR="00C26A41" w:rsidRPr="00785D77">
        <w:rPr>
          <w:rFonts w:ascii="Times New Roman" w:hAnsi="Times New Roman" w:cs="Times New Roman"/>
        </w:rPr>
        <w:t>t is entirely possible that future scientists of the next major pandemic will turn to the remnants of the COVID-19 data to understand their own pandemic – data that will certainly be distorted by DP.</w:t>
      </w:r>
    </w:p>
    <w:p w14:paraId="5B4B3AEE" w14:textId="64770CE0" w:rsidR="00CB0DC0" w:rsidRDefault="002F325C" w:rsidP="002B52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w:t>
      </w:r>
      <w:r w:rsidR="00407978">
        <w:rPr>
          <w:rFonts w:ascii="Times New Roman" w:eastAsia="Times New Roman" w:hAnsi="Times New Roman" w:cs="Times New Roman"/>
          <w:sz w:val="24"/>
          <w:szCs w:val="24"/>
        </w:rPr>
        <w:t>hen, and not if, the Census Bureau releases DP data, the breadth of data users analyzing COVID-19 need to be aware of the limitations in using DP data</w:t>
      </w:r>
      <w:r w:rsidR="00195EED">
        <w:rPr>
          <w:rFonts w:ascii="Times New Roman" w:eastAsia="Times New Roman" w:hAnsi="Times New Roman" w:cs="Times New Roman"/>
          <w:sz w:val="24"/>
          <w:szCs w:val="24"/>
        </w:rPr>
        <w:t xml:space="preserve"> for COVID-19 analyses</w:t>
      </w:r>
      <w:r w:rsidR="00407978">
        <w:rPr>
          <w:rFonts w:ascii="Times New Roman" w:eastAsia="Times New Roman" w:hAnsi="Times New Roman" w:cs="Times New Roman"/>
          <w:sz w:val="24"/>
          <w:szCs w:val="24"/>
        </w:rPr>
        <w:t>.</w:t>
      </w:r>
      <w:r w:rsidR="006A36C5">
        <w:rPr>
          <w:rFonts w:ascii="Times New Roman" w:eastAsia="Times New Roman" w:hAnsi="Times New Roman" w:cs="Times New Roman"/>
          <w:sz w:val="24"/>
          <w:szCs w:val="24"/>
        </w:rPr>
        <w:t xml:space="preserve"> Based on our </w:t>
      </w:r>
      <w:r w:rsidR="000515A6">
        <w:rPr>
          <w:rFonts w:ascii="Times New Roman" w:eastAsia="Times New Roman" w:hAnsi="Times New Roman" w:cs="Times New Roman"/>
          <w:sz w:val="24"/>
          <w:szCs w:val="24"/>
        </w:rPr>
        <w:t>findings</w:t>
      </w:r>
      <w:r w:rsidR="006A36C5">
        <w:rPr>
          <w:rFonts w:ascii="Times New Roman" w:eastAsia="Times New Roman" w:hAnsi="Times New Roman" w:cs="Times New Roman"/>
          <w:sz w:val="24"/>
          <w:szCs w:val="24"/>
        </w:rPr>
        <w:t>,</w:t>
      </w:r>
      <w:r w:rsidR="007A3D96">
        <w:rPr>
          <w:rFonts w:ascii="Times New Roman" w:eastAsia="Times New Roman" w:hAnsi="Times New Roman" w:cs="Times New Roman"/>
          <w:sz w:val="24"/>
          <w:szCs w:val="24"/>
        </w:rPr>
        <w:t xml:space="preserve"> we offer three recommendations to</w:t>
      </w:r>
      <w:r w:rsidR="006A36C5">
        <w:rPr>
          <w:rFonts w:ascii="Times New Roman" w:eastAsia="Times New Roman" w:hAnsi="Times New Roman" w:cs="Times New Roman"/>
          <w:sz w:val="24"/>
          <w:szCs w:val="24"/>
        </w:rPr>
        <w:t xml:space="preserve"> scientists</w:t>
      </w:r>
      <w:r w:rsidR="007A3D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policy makers. First,</w:t>
      </w:r>
      <w:r w:rsidR="00AE2BBF">
        <w:rPr>
          <w:rFonts w:ascii="Times New Roman" w:eastAsia="Times New Roman" w:hAnsi="Times New Roman" w:cs="Times New Roman"/>
          <w:sz w:val="24"/>
          <w:szCs w:val="24"/>
        </w:rPr>
        <w:t xml:space="preserve"> we suggest a minimum cell size of 1000 persons</w:t>
      </w:r>
      <w:r w:rsidR="0002389C">
        <w:rPr>
          <w:rFonts w:ascii="Times New Roman" w:eastAsia="Times New Roman" w:hAnsi="Times New Roman" w:cs="Times New Roman"/>
          <w:sz w:val="24"/>
          <w:szCs w:val="24"/>
        </w:rPr>
        <w:t xml:space="preserve"> for the calculation of any COVID-19 rates (fatality, incidence, and prevalence). </w:t>
      </w:r>
      <w:r w:rsidR="003542AB">
        <w:rPr>
          <w:rFonts w:ascii="Times New Roman" w:eastAsia="Times New Roman" w:hAnsi="Times New Roman" w:cs="Times New Roman"/>
          <w:sz w:val="24"/>
          <w:szCs w:val="24"/>
        </w:rPr>
        <w:t xml:space="preserve">COVID-19 rates rapidly approach acceptable error rates as population sizes get larger than 1000 persons. </w:t>
      </w:r>
      <w:r w:rsidR="004C1131">
        <w:rPr>
          <w:rFonts w:ascii="Times New Roman" w:eastAsia="Times New Roman" w:hAnsi="Times New Roman" w:cs="Times New Roman"/>
          <w:sz w:val="24"/>
          <w:szCs w:val="24"/>
        </w:rPr>
        <w:t>Second, scientists and policymakers can combine areas</w:t>
      </w:r>
      <w:r w:rsidR="003D2BF4">
        <w:rPr>
          <w:rFonts w:ascii="Times New Roman" w:eastAsia="Times New Roman" w:hAnsi="Times New Roman" w:cs="Times New Roman"/>
          <w:sz w:val="24"/>
          <w:szCs w:val="24"/>
        </w:rPr>
        <w:t xml:space="preserve"> to create larger cell sizes via regions, sacrificing geographic detail for age-sex-race specificity. The Census Bureau uses this approach for their public use microdata </w:t>
      </w:r>
      <w:r w:rsidR="00F232F8">
        <w:rPr>
          <w:rFonts w:ascii="Times New Roman" w:eastAsia="Times New Roman" w:hAnsi="Times New Roman" w:cs="Times New Roman"/>
          <w:sz w:val="24"/>
          <w:szCs w:val="24"/>
        </w:rPr>
        <w:t>samples (PUMS)</w:t>
      </w:r>
      <w:r w:rsidR="003D463D">
        <w:rPr>
          <w:rFonts w:ascii="Times New Roman" w:eastAsia="Times New Roman" w:hAnsi="Times New Roman" w:cs="Times New Roman"/>
          <w:sz w:val="24"/>
          <w:szCs w:val="24"/>
        </w:rPr>
        <w:t>,</w:t>
      </w:r>
      <w:r w:rsidR="00F232F8">
        <w:rPr>
          <w:rFonts w:ascii="Times New Roman" w:eastAsia="Times New Roman" w:hAnsi="Times New Roman" w:cs="Times New Roman"/>
          <w:sz w:val="24"/>
          <w:szCs w:val="24"/>
        </w:rPr>
        <w:t xml:space="preserve"> and we recommend a similar approach for COVID-19 analyses.</w:t>
      </w:r>
      <w:r w:rsidR="003D463D">
        <w:rPr>
          <w:rFonts w:ascii="Times New Roman" w:eastAsia="Times New Roman" w:hAnsi="Times New Roman" w:cs="Times New Roman"/>
          <w:sz w:val="24"/>
          <w:szCs w:val="24"/>
        </w:rPr>
        <w:t xml:space="preserve"> Third, scientists can </w:t>
      </w:r>
      <w:r w:rsidR="00D84756">
        <w:rPr>
          <w:rFonts w:ascii="Times New Roman" w:eastAsia="Times New Roman" w:hAnsi="Times New Roman" w:cs="Times New Roman"/>
          <w:sz w:val="24"/>
          <w:szCs w:val="24"/>
        </w:rPr>
        <w:t>pool data together in either wider age intervals (</w:t>
      </w:r>
      <w:proofErr w:type="spellStart"/>
      <w:r w:rsidR="00D84756">
        <w:rPr>
          <w:rFonts w:ascii="Times New Roman" w:eastAsia="Times New Roman" w:hAnsi="Times New Roman" w:cs="Times New Roman"/>
          <w:sz w:val="24"/>
          <w:szCs w:val="24"/>
        </w:rPr>
        <w:t>ie</w:t>
      </w:r>
      <w:proofErr w:type="spellEnd"/>
      <w:r w:rsidR="00D84756">
        <w:rPr>
          <w:rFonts w:ascii="Times New Roman" w:eastAsia="Times New Roman" w:hAnsi="Times New Roman" w:cs="Times New Roman"/>
          <w:sz w:val="24"/>
          <w:szCs w:val="24"/>
        </w:rPr>
        <w:t xml:space="preserve"> 20-year age intervals rather than 10-year age intervals) or wider race classifications (</w:t>
      </w:r>
      <w:proofErr w:type="spellStart"/>
      <w:r w:rsidR="00D84756">
        <w:rPr>
          <w:rFonts w:ascii="Times New Roman" w:eastAsia="Times New Roman" w:hAnsi="Times New Roman" w:cs="Times New Roman"/>
          <w:sz w:val="24"/>
          <w:szCs w:val="24"/>
        </w:rPr>
        <w:t>ie</w:t>
      </w:r>
      <w:proofErr w:type="spellEnd"/>
      <w:r w:rsidR="00D84756">
        <w:rPr>
          <w:rFonts w:ascii="Times New Roman" w:eastAsia="Times New Roman" w:hAnsi="Times New Roman" w:cs="Times New Roman"/>
          <w:sz w:val="24"/>
          <w:szCs w:val="24"/>
        </w:rPr>
        <w:t xml:space="preserve"> using OMB’s 2, 4, or 5 race classifications rather than the fully detailed 9 race classification).</w:t>
      </w:r>
      <w:r w:rsidR="000515A6">
        <w:rPr>
          <w:rFonts w:ascii="Times New Roman" w:eastAsia="Times New Roman" w:hAnsi="Times New Roman" w:cs="Times New Roman"/>
          <w:sz w:val="24"/>
          <w:szCs w:val="24"/>
        </w:rPr>
        <w:t xml:space="preserve"> The Census Bureau should publish suggested guidance on using DP data </w:t>
      </w:r>
      <w:r w:rsidR="00DD7B67">
        <w:rPr>
          <w:rFonts w:ascii="Times New Roman" w:eastAsia="Times New Roman" w:hAnsi="Times New Roman" w:cs="Times New Roman"/>
          <w:sz w:val="24"/>
          <w:szCs w:val="24"/>
        </w:rPr>
        <w:t xml:space="preserve">far in advance of the release of DP products </w:t>
      </w:r>
      <w:r w:rsidR="00744993">
        <w:rPr>
          <w:rFonts w:ascii="Times New Roman" w:eastAsia="Times New Roman" w:hAnsi="Times New Roman" w:cs="Times New Roman"/>
          <w:sz w:val="24"/>
          <w:szCs w:val="24"/>
        </w:rPr>
        <w:t>to</w:t>
      </w:r>
      <w:r w:rsidR="00DD7B67">
        <w:rPr>
          <w:rFonts w:ascii="Times New Roman" w:eastAsia="Times New Roman" w:hAnsi="Times New Roman" w:cs="Times New Roman"/>
          <w:sz w:val="24"/>
          <w:szCs w:val="24"/>
        </w:rPr>
        <w:t xml:space="preserve"> minimize their disruption.</w:t>
      </w:r>
    </w:p>
    <w:p w14:paraId="69AD8ED0" w14:textId="24171615" w:rsidR="00A20BA2" w:rsidRDefault="00A20BA2" w:rsidP="002B52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846786">
        <w:rPr>
          <w:rFonts w:ascii="Times New Roman" w:eastAsia="Times New Roman" w:hAnsi="Times New Roman" w:cs="Times New Roman"/>
          <w:sz w:val="24"/>
          <w:szCs w:val="24"/>
        </w:rPr>
        <w:t xml:space="preserve"> the pandemic continues, scientists, policy makers, and journalists should embrace </w:t>
      </w:r>
      <w:r w:rsidR="00AD49AA">
        <w:rPr>
          <w:rFonts w:ascii="Times New Roman" w:eastAsia="Times New Roman" w:hAnsi="Times New Roman" w:cs="Times New Roman"/>
          <w:sz w:val="24"/>
          <w:szCs w:val="24"/>
        </w:rPr>
        <w:t>minimum standards for COVID-19 analyses using Census 2020 data products.</w:t>
      </w:r>
      <w:r w:rsidR="008B23C3">
        <w:rPr>
          <w:rFonts w:ascii="Times New Roman" w:eastAsia="Times New Roman" w:hAnsi="Times New Roman" w:cs="Times New Roman"/>
          <w:sz w:val="24"/>
          <w:szCs w:val="24"/>
        </w:rPr>
        <w:t xml:space="preserve"> Recent visualizations by the New York Times and the CDC demonstrate the intense hunger for</w:t>
      </w:r>
      <w:r w:rsidR="00753510">
        <w:rPr>
          <w:rFonts w:ascii="Times New Roman" w:eastAsia="Times New Roman" w:hAnsi="Times New Roman" w:cs="Times New Roman"/>
          <w:sz w:val="24"/>
          <w:szCs w:val="24"/>
        </w:rPr>
        <w:t xml:space="preserve"> detailed</w:t>
      </w:r>
      <w:r w:rsidR="002B36F9">
        <w:rPr>
          <w:rFonts w:ascii="Times New Roman" w:eastAsia="Times New Roman" w:hAnsi="Times New Roman" w:cs="Times New Roman"/>
          <w:sz w:val="24"/>
          <w:szCs w:val="24"/>
        </w:rPr>
        <w:t xml:space="preserve"> COVID-19 analysis. Future visualizations</w:t>
      </w:r>
      <w:r w:rsidR="00BD66C9">
        <w:rPr>
          <w:rFonts w:ascii="Times New Roman" w:eastAsia="Times New Roman" w:hAnsi="Times New Roman" w:cs="Times New Roman"/>
          <w:sz w:val="24"/>
          <w:szCs w:val="24"/>
        </w:rPr>
        <w:t xml:space="preserve"> should at minimum be aware of the issues</w:t>
      </w:r>
      <w:r w:rsidR="000D203A">
        <w:rPr>
          <w:rFonts w:ascii="Times New Roman" w:eastAsia="Times New Roman" w:hAnsi="Times New Roman" w:cs="Times New Roman"/>
          <w:sz w:val="24"/>
          <w:szCs w:val="24"/>
        </w:rPr>
        <w:t xml:space="preserve"> of using noise-infused population counts and should employ strategies </w:t>
      </w:r>
      <w:r w:rsidR="00B5702E">
        <w:rPr>
          <w:rFonts w:ascii="Times New Roman" w:eastAsia="Times New Roman" w:hAnsi="Times New Roman" w:cs="Times New Roman"/>
          <w:sz w:val="24"/>
          <w:szCs w:val="24"/>
        </w:rPr>
        <w:t>o</w:t>
      </w:r>
      <w:r w:rsidR="000D203A">
        <w:rPr>
          <w:rFonts w:ascii="Times New Roman" w:eastAsia="Times New Roman" w:hAnsi="Times New Roman" w:cs="Times New Roman"/>
          <w:sz w:val="24"/>
          <w:szCs w:val="24"/>
        </w:rPr>
        <w:t>utline</w:t>
      </w:r>
      <w:r w:rsidR="00B5702E">
        <w:rPr>
          <w:rFonts w:ascii="Times New Roman" w:eastAsia="Times New Roman" w:hAnsi="Times New Roman" w:cs="Times New Roman"/>
          <w:sz w:val="24"/>
          <w:szCs w:val="24"/>
        </w:rPr>
        <w:t>d</w:t>
      </w:r>
      <w:r w:rsidR="000D203A">
        <w:rPr>
          <w:rFonts w:ascii="Times New Roman" w:eastAsia="Times New Roman" w:hAnsi="Times New Roman" w:cs="Times New Roman"/>
          <w:sz w:val="24"/>
          <w:szCs w:val="24"/>
        </w:rPr>
        <w:t xml:space="preserve"> above to ensure</w:t>
      </w:r>
      <w:r w:rsidR="00B5702E">
        <w:rPr>
          <w:rFonts w:ascii="Times New Roman" w:eastAsia="Times New Roman" w:hAnsi="Times New Roman" w:cs="Times New Roman"/>
          <w:sz w:val="24"/>
          <w:szCs w:val="24"/>
        </w:rPr>
        <w:t xml:space="preserve"> analyses are of the highest possible fidelity.</w:t>
      </w:r>
    </w:p>
    <w:p w14:paraId="073E123A" w14:textId="77777777" w:rsidR="002B5253" w:rsidRPr="002C03AD" w:rsidRDefault="002B5253" w:rsidP="002B5253">
      <w:pPr>
        <w:jc w:val="both"/>
        <w:rPr>
          <w:rFonts w:ascii="Times New Roman" w:hAnsi="Times New Roman" w:cs="Times New Roman"/>
          <w:b/>
        </w:rPr>
      </w:pPr>
    </w:p>
    <w:p w14:paraId="47BD685D" w14:textId="7C6E5813" w:rsidR="00F23A39" w:rsidRPr="002E7291" w:rsidRDefault="002E7291" w:rsidP="002E7291">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All data and code necessary to reproduce the reported results are licensed under the CC-BY-4.0 license and are publicly available in a replication repository located at https://osf.io/fp52x/?view_only=754d9a72a2ea4f6b8e0c193dc9a590d1.</w:t>
      </w:r>
    </w:p>
    <w:p w14:paraId="7FD22245" w14:textId="77777777" w:rsidR="00F23A39" w:rsidRPr="00F23A39" w:rsidRDefault="00F23A39" w:rsidP="00610E46">
      <w:pPr>
        <w:jc w:val="both"/>
        <w:rPr>
          <w:rFonts w:ascii="Times New Roman" w:hAnsi="Times New Roman" w:cs="Times New Roman"/>
          <w:b/>
          <w:bCs/>
        </w:rPr>
      </w:pPr>
    </w:p>
    <w:p w14:paraId="4B71A567" w14:textId="6426D3C8" w:rsidR="00783A55" w:rsidRDefault="00EE4221" w:rsidP="005F4A30">
      <w:pPr>
        <w:jc w:val="both"/>
        <w:rPr>
          <w:rFonts w:ascii="Times New Roman" w:hAnsi="Times New Roman" w:cs="Times New Roman"/>
        </w:rPr>
      </w:pPr>
      <w:r w:rsidRPr="00B75D71">
        <w:rPr>
          <w:rFonts w:ascii="Times New Roman" w:hAnsi="Times New Roman" w:cs="Times New Roman"/>
          <w:b/>
          <w:bCs/>
        </w:rPr>
        <w:t>Figure 1</w:t>
      </w:r>
      <w:r w:rsidRPr="00783A55">
        <w:rPr>
          <w:rFonts w:ascii="Times New Roman" w:hAnsi="Times New Roman" w:cs="Times New Roman"/>
        </w:rPr>
        <w:t xml:space="preserve"> shows age-sex structures </w:t>
      </w:r>
      <w:r w:rsidR="00532F2A">
        <w:rPr>
          <w:rFonts w:ascii="Times New Roman" w:hAnsi="Times New Roman" w:cs="Times New Roman"/>
        </w:rPr>
        <w:t>from 2010 population counts</w:t>
      </w:r>
      <w:r w:rsidR="009611D8">
        <w:rPr>
          <w:rFonts w:ascii="Times New Roman" w:hAnsi="Times New Roman" w:cs="Times New Roman"/>
        </w:rPr>
        <w:t xml:space="preserve"> (gray pyramids)</w:t>
      </w:r>
      <w:r w:rsidR="00532F2A">
        <w:rPr>
          <w:rFonts w:ascii="Times New Roman" w:hAnsi="Times New Roman" w:cs="Times New Roman"/>
        </w:rPr>
        <w:t xml:space="preserve"> and counts resulting from the implementation of DP for six counties</w:t>
      </w:r>
      <w:r w:rsidR="009611D8">
        <w:rPr>
          <w:rFonts w:ascii="Times New Roman" w:hAnsi="Times New Roman" w:cs="Times New Roman"/>
        </w:rPr>
        <w:t xml:space="preserve"> (in red). In Panels A and B, the changes in age-sex structure is negligible or marginal. The rest of the cases are instances where if not the whole pyramid, then at least one category is substantially altered. </w:t>
      </w:r>
      <w:r w:rsidR="00D62A5D">
        <w:rPr>
          <w:rFonts w:ascii="Times New Roman" w:hAnsi="Times New Roman" w:cs="Times New Roman"/>
        </w:rPr>
        <w:t>In Panel C, this is the case for persons aged 60-69 where there is an under reporting of females and a substantial over reporting of males, the contrary happens to persons aged 80 + and</w:t>
      </w:r>
      <w:r w:rsidR="00E6372B">
        <w:rPr>
          <w:rFonts w:ascii="Times New Roman" w:hAnsi="Times New Roman" w:cs="Times New Roman"/>
        </w:rPr>
        <w:t xml:space="preserve"> </w:t>
      </w:r>
      <w:r w:rsidR="00D62A5D">
        <w:rPr>
          <w:rFonts w:ascii="Times New Roman" w:hAnsi="Times New Roman" w:cs="Times New Roman"/>
        </w:rPr>
        <w:t>30-39 y</w:t>
      </w:r>
      <w:r w:rsidR="00DF02DB">
        <w:rPr>
          <w:rFonts w:ascii="Times New Roman" w:hAnsi="Times New Roman" w:cs="Times New Roman"/>
        </w:rPr>
        <w:t>ears</w:t>
      </w:r>
      <w:r w:rsidR="00D62A5D">
        <w:rPr>
          <w:rFonts w:ascii="Times New Roman" w:hAnsi="Times New Roman" w:cs="Times New Roman"/>
        </w:rPr>
        <w:t>.</w:t>
      </w:r>
      <w:r w:rsidR="00EC30DD">
        <w:rPr>
          <w:rFonts w:ascii="Times New Roman" w:hAnsi="Times New Roman" w:cs="Times New Roman"/>
        </w:rPr>
        <w:t xml:space="preserve"> In Panel D, we observe shifts for all except for those aged 50-59 years</w:t>
      </w:r>
      <w:r w:rsidR="004868D2">
        <w:rPr>
          <w:rFonts w:ascii="Times New Roman" w:hAnsi="Times New Roman" w:cs="Times New Roman"/>
        </w:rPr>
        <w:t>, with higher differences observed for older age groups - with un under representation of persons aged 60-69 years and over representation of those aged 70-79 years and 80 +</w:t>
      </w:r>
      <w:r w:rsidR="00EC30DD">
        <w:rPr>
          <w:rFonts w:ascii="Times New Roman" w:hAnsi="Times New Roman" w:cs="Times New Roman"/>
        </w:rPr>
        <w:t xml:space="preserve">. </w:t>
      </w:r>
      <w:r w:rsidR="005F4A30">
        <w:rPr>
          <w:rFonts w:ascii="Times New Roman" w:hAnsi="Times New Roman" w:cs="Times New Roman"/>
        </w:rPr>
        <w:t>In Panel</w:t>
      </w:r>
      <w:r w:rsidR="00A152F4">
        <w:rPr>
          <w:rFonts w:ascii="Times New Roman" w:hAnsi="Times New Roman" w:cs="Times New Roman"/>
        </w:rPr>
        <w:t>s</w:t>
      </w:r>
      <w:r w:rsidR="005F4A30">
        <w:rPr>
          <w:rFonts w:ascii="Times New Roman" w:hAnsi="Times New Roman" w:cs="Times New Roman"/>
        </w:rPr>
        <w:t xml:space="preserve"> E</w:t>
      </w:r>
      <w:r w:rsidR="00A152F4">
        <w:rPr>
          <w:rFonts w:ascii="Times New Roman" w:hAnsi="Times New Roman" w:cs="Times New Roman"/>
        </w:rPr>
        <w:t xml:space="preserve"> and F, we observe shifts in the population at oldest age group</w:t>
      </w:r>
      <w:r w:rsidR="00F76420">
        <w:rPr>
          <w:rFonts w:ascii="Times New Roman" w:hAnsi="Times New Roman" w:cs="Times New Roman"/>
        </w:rPr>
        <w:t xml:space="preserve">. </w:t>
      </w:r>
      <w:r w:rsidR="00BA5101">
        <w:rPr>
          <w:rFonts w:ascii="Times New Roman" w:hAnsi="Times New Roman" w:cs="Times New Roman"/>
        </w:rPr>
        <w:t xml:space="preserve">We </w:t>
      </w:r>
      <w:r w:rsidR="00BC3E1B">
        <w:rPr>
          <w:rFonts w:ascii="Times New Roman" w:hAnsi="Times New Roman" w:cs="Times New Roman"/>
        </w:rPr>
        <w:t>ask</w:t>
      </w:r>
      <w:r w:rsidR="00BA5101">
        <w:rPr>
          <w:rFonts w:ascii="Times New Roman" w:hAnsi="Times New Roman" w:cs="Times New Roman"/>
        </w:rPr>
        <w:t xml:space="preserve"> how </w:t>
      </w:r>
      <w:r w:rsidR="00BC3E1B">
        <w:rPr>
          <w:rFonts w:ascii="Times New Roman" w:hAnsi="Times New Roman" w:cs="Times New Roman"/>
        </w:rPr>
        <w:t>the implementation of DP would</w:t>
      </w:r>
      <w:r w:rsidR="00BA5101">
        <w:rPr>
          <w:rFonts w:ascii="Times New Roman" w:hAnsi="Times New Roman" w:cs="Times New Roman"/>
        </w:rPr>
        <w:t xml:space="preserve"> </w:t>
      </w:r>
      <w:r w:rsidR="00BC3E1B">
        <w:rPr>
          <w:rFonts w:ascii="Times New Roman" w:hAnsi="Times New Roman" w:cs="Times New Roman"/>
        </w:rPr>
        <w:t>affect</w:t>
      </w:r>
      <w:r w:rsidR="00BA5101">
        <w:rPr>
          <w:rFonts w:ascii="Times New Roman" w:hAnsi="Times New Roman" w:cs="Times New Roman"/>
        </w:rPr>
        <w:t xml:space="preserve"> an assessment of a pandemic with similar patterns to those as COVID-19. </w:t>
      </w:r>
    </w:p>
    <w:p w14:paraId="150CD6B3" w14:textId="28955237" w:rsidR="00BD1D07" w:rsidRDefault="00BD1D07" w:rsidP="005F4A30">
      <w:pPr>
        <w:jc w:val="both"/>
        <w:rPr>
          <w:rFonts w:ascii="Times New Roman" w:hAnsi="Times New Roman" w:cs="Times New Roman"/>
        </w:rPr>
      </w:pPr>
    </w:p>
    <w:p w14:paraId="037FE2DF" w14:textId="5C2F4526" w:rsidR="00BD1D07" w:rsidRDefault="00BD1D07" w:rsidP="005F4A30">
      <w:pPr>
        <w:jc w:val="both"/>
        <w:rPr>
          <w:rFonts w:ascii="Times New Roman" w:hAnsi="Times New Roman" w:cs="Times New Roman"/>
        </w:rPr>
      </w:pPr>
    </w:p>
    <w:p w14:paraId="6D7C10EC" w14:textId="4BA22432" w:rsidR="005454FD" w:rsidRDefault="005454FD" w:rsidP="005F4A30">
      <w:pPr>
        <w:jc w:val="both"/>
        <w:rPr>
          <w:rFonts w:ascii="Times New Roman" w:eastAsia="Times New Roman" w:hAnsi="Times New Roman" w:cs="Times New Roman"/>
          <w:sz w:val="24"/>
          <w:szCs w:val="24"/>
        </w:rPr>
      </w:pPr>
    </w:p>
    <w:p w14:paraId="1B9113C4" w14:textId="77777777" w:rsidR="001C35E3" w:rsidRDefault="001C35E3" w:rsidP="005F4A30">
      <w:pPr>
        <w:jc w:val="both"/>
        <w:rPr>
          <w:rFonts w:ascii="Times New Roman" w:hAnsi="Times New Roman" w:cs="Times New Roman"/>
        </w:rPr>
      </w:pPr>
    </w:p>
    <w:p w14:paraId="54B0F0EF" w14:textId="77777777"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6AFBE057" w14:textId="77777777" w:rsidR="005F6138" w:rsidRPr="005F6138" w:rsidRDefault="00B658B8" w:rsidP="005F6138">
      <w:pPr>
        <w:pStyle w:val="Bibliography"/>
        <w:rPr>
          <w:rFonts w:ascii="Times New Roman" w:hAnsi="Times New Roman" w:cs="Times New Roman"/>
        </w:rPr>
      </w:pPr>
      <w:r>
        <w:lastRenderedPageBreak/>
        <w:fldChar w:fldCharType="begin" w:fldLock="1"/>
      </w:r>
      <w:r w:rsidR="006A46BE">
        <w:instrText xml:space="preserve"> ADDIN ZOTERO_BIBL {"uncited":[],"omitted":[],"custom":[]} CSL_BIBLIOGRAPHY </w:instrText>
      </w:r>
      <w:r>
        <w:fldChar w:fldCharType="separate"/>
      </w:r>
      <w:r w:rsidR="005F6138" w:rsidRPr="005F6138">
        <w:rPr>
          <w:rFonts w:ascii="Times New Roman" w:hAnsi="Times New Roman" w:cs="Times New Roman"/>
        </w:rPr>
        <w:t>1.</w:t>
      </w:r>
      <w:r w:rsidR="005F6138" w:rsidRPr="005F6138">
        <w:rPr>
          <w:rFonts w:ascii="Times New Roman" w:hAnsi="Times New Roman" w:cs="Times New Roman"/>
        </w:rPr>
        <w:tab/>
        <w:t xml:space="preserve">Dowd, J. B. </w:t>
      </w:r>
      <w:r w:rsidR="005F6138" w:rsidRPr="005F6138">
        <w:rPr>
          <w:rFonts w:ascii="Times New Roman" w:hAnsi="Times New Roman" w:cs="Times New Roman"/>
          <w:i/>
          <w:iCs/>
        </w:rPr>
        <w:t>et al.</w:t>
      </w:r>
      <w:r w:rsidR="005F6138" w:rsidRPr="005F6138">
        <w:rPr>
          <w:rFonts w:ascii="Times New Roman" w:hAnsi="Times New Roman" w:cs="Times New Roman"/>
        </w:rPr>
        <w:t xml:space="preserve"> Demographic science aids in understanding the spread and fatality rates of COVID-19. </w:t>
      </w:r>
      <w:r w:rsidR="005F6138" w:rsidRPr="005F6138">
        <w:rPr>
          <w:rFonts w:ascii="Times New Roman" w:hAnsi="Times New Roman" w:cs="Times New Roman"/>
          <w:i/>
          <w:iCs/>
        </w:rPr>
        <w:t>Proc. Natl. Acad. Sci. U. S. A.</w:t>
      </w:r>
      <w:r w:rsidR="005F6138" w:rsidRPr="005F6138">
        <w:rPr>
          <w:rFonts w:ascii="Times New Roman" w:hAnsi="Times New Roman" w:cs="Times New Roman"/>
        </w:rPr>
        <w:t xml:space="preserve"> </w:t>
      </w:r>
      <w:r w:rsidR="005F6138" w:rsidRPr="005F6138">
        <w:rPr>
          <w:rFonts w:ascii="Times New Roman" w:hAnsi="Times New Roman" w:cs="Times New Roman"/>
          <w:b/>
          <w:bCs/>
        </w:rPr>
        <w:t>117</w:t>
      </w:r>
      <w:r w:rsidR="005F6138" w:rsidRPr="005F6138">
        <w:rPr>
          <w:rFonts w:ascii="Times New Roman" w:hAnsi="Times New Roman" w:cs="Times New Roman"/>
        </w:rPr>
        <w:t>, 9696–9698 (2020).</w:t>
      </w:r>
    </w:p>
    <w:p w14:paraId="5BDA5A85" w14:textId="77777777" w:rsidR="005F6138" w:rsidRPr="005F6138" w:rsidRDefault="005F6138" w:rsidP="005F6138">
      <w:pPr>
        <w:pStyle w:val="Bibliography"/>
        <w:rPr>
          <w:rFonts w:ascii="Times New Roman" w:hAnsi="Times New Roman" w:cs="Times New Roman"/>
        </w:rPr>
      </w:pPr>
      <w:r w:rsidRPr="005F6138">
        <w:rPr>
          <w:rFonts w:ascii="Times New Roman" w:hAnsi="Times New Roman" w:cs="Times New Roman"/>
        </w:rPr>
        <w:t>2.</w:t>
      </w:r>
      <w:r w:rsidRPr="005F6138">
        <w:rPr>
          <w:rFonts w:ascii="Times New Roman" w:hAnsi="Times New Roman" w:cs="Times New Roman"/>
        </w:rPr>
        <w:tab/>
      </w:r>
      <w:proofErr w:type="spellStart"/>
      <w:r w:rsidRPr="005F6138">
        <w:rPr>
          <w:rFonts w:ascii="Times New Roman" w:hAnsi="Times New Roman" w:cs="Times New Roman"/>
        </w:rPr>
        <w:t>Remuzzi</w:t>
      </w:r>
      <w:proofErr w:type="spellEnd"/>
      <w:r w:rsidRPr="005F6138">
        <w:rPr>
          <w:rFonts w:ascii="Times New Roman" w:hAnsi="Times New Roman" w:cs="Times New Roman"/>
        </w:rPr>
        <w:t xml:space="preserve">, A. &amp; </w:t>
      </w:r>
      <w:proofErr w:type="spellStart"/>
      <w:r w:rsidRPr="005F6138">
        <w:rPr>
          <w:rFonts w:ascii="Times New Roman" w:hAnsi="Times New Roman" w:cs="Times New Roman"/>
        </w:rPr>
        <w:t>Remuzzi</w:t>
      </w:r>
      <w:proofErr w:type="spellEnd"/>
      <w:r w:rsidRPr="005F6138">
        <w:rPr>
          <w:rFonts w:ascii="Times New Roman" w:hAnsi="Times New Roman" w:cs="Times New Roman"/>
        </w:rPr>
        <w:t xml:space="preserve">, G. COVID-19 and Italy: what next? </w:t>
      </w:r>
      <w:r w:rsidRPr="005F6138">
        <w:rPr>
          <w:rFonts w:ascii="Times New Roman" w:hAnsi="Times New Roman" w:cs="Times New Roman"/>
          <w:i/>
          <w:iCs/>
        </w:rPr>
        <w:t>The Lancet</w:t>
      </w:r>
      <w:r w:rsidRPr="005F6138">
        <w:rPr>
          <w:rFonts w:ascii="Times New Roman" w:hAnsi="Times New Roman" w:cs="Times New Roman"/>
        </w:rPr>
        <w:t xml:space="preserve"> </w:t>
      </w:r>
      <w:r w:rsidRPr="005F6138">
        <w:rPr>
          <w:rFonts w:ascii="Times New Roman" w:hAnsi="Times New Roman" w:cs="Times New Roman"/>
          <w:b/>
          <w:bCs/>
        </w:rPr>
        <w:t>395</w:t>
      </w:r>
      <w:r w:rsidRPr="005F6138">
        <w:rPr>
          <w:rFonts w:ascii="Times New Roman" w:hAnsi="Times New Roman" w:cs="Times New Roman"/>
        </w:rPr>
        <w:t>, 1225–1228 (2020).</w:t>
      </w:r>
    </w:p>
    <w:p w14:paraId="62CF9654" w14:textId="77777777" w:rsidR="005F6138" w:rsidRPr="005F6138" w:rsidRDefault="005F6138" w:rsidP="005F6138">
      <w:pPr>
        <w:pStyle w:val="Bibliography"/>
        <w:rPr>
          <w:rFonts w:ascii="Times New Roman" w:hAnsi="Times New Roman" w:cs="Times New Roman"/>
        </w:rPr>
      </w:pPr>
      <w:r w:rsidRPr="005F6138">
        <w:rPr>
          <w:rFonts w:ascii="Times New Roman" w:hAnsi="Times New Roman" w:cs="Times New Roman"/>
        </w:rPr>
        <w:t>3.</w:t>
      </w:r>
      <w:r w:rsidRPr="005F6138">
        <w:rPr>
          <w:rFonts w:ascii="Times New Roman" w:hAnsi="Times New Roman" w:cs="Times New Roman"/>
        </w:rPr>
        <w:tab/>
        <w:t xml:space="preserve">Banerjee, A. </w:t>
      </w:r>
      <w:r w:rsidRPr="005F6138">
        <w:rPr>
          <w:rFonts w:ascii="Times New Roman" w:hAnsi="Times New Roman" w:cs="Times New Roman"/>
          <w:i/>
          <w:iCs/>
        </w:rPr>
        <w:t>et al.</w:t>
      </w:r>
      <w:r w:rsidRPr="005F6138">
        <w:rPr>
          <w:rFonts w:ascii="Times New Roman" w:hAnsi="Times New Roman" w:cs="Times New Roman"/>
        </w:rPr>
        <w:t xml:space="preserve"> Estimating excess 1-year mortality associated with the COVID-19 pandemic according to underlying conditions and age: a population-based cohort study. </w:t>
      </w:r>
      <w:r w:rsidRPr="005F6138">
        <w:rPr>
          <w:rFonts w:ascii="Times New Roman" w:hAnsi="Times New Roman" w:cs="Times New Roman"/>
          <w:i/>
          <w:iCs/>
        </w:rPr>
        <w:t>The Lancet</w:t>
      </w:r>
      <w:r w:rsidRPr="005F6138">
        <w:rPr>
          <w:rFonts w:ascii="Times New Roman" w:hAnsi="Times New Roman" w:cs="Times New Roman"/>
        </w:rPr>
        <w:t xml:space="preserve"> </w:t>
      </w:r>
      <w:r w:rsidRPr="005F6138">
        <w:rPr>
          <w:rFonts w:ascii="Times New Roman" w:hAnsi="Times New Roman" w:cs="Times New Roman"/>
          <w:b/>
          <w:bCs/>
        </w:rPr>
        <w:t>395</w:t>
      </w:r>
      <w:r w:rsidRPr="005F6138">
        <w:rPr>
          <w:rFonts w:ascii="Times New Roman" w:hAnsi="Times New Roman" w:cs="Times New Roman"/>
        </w:rPr>
        <w:t>, 1715–1725 (2020).</w:t>
      </w:r>
    </w:p>
    <w:p w14:paraId="50C6F193" w14:textId="77777777" w:rsidR="005F6138" w:rsidRPr="005F6138" w:rsidRDefault="005F6138" w:rsidP="005F6138">
      <w:pPr>
        <w:pStyle w:val="Bibliography"/>
        <w:rPr>
          <w:rFonts w:ascii="Times New Roman" w:hAnsi="Times New Roman" w:cs="Times New Roman"/>
        </w:rPr>
      </w:pPr>
      <w:r w:rsidRPr="005F6138">
        <w:rPr>
          <w:rFonts w:ascii="Times New Roman" w:hAnsi="Times New Roman" w:cs="Times New Roman"/>
        </w:rPr>
        <w:t>4.</w:t>
      </w:r>
      <w:r w:rsidRPr="005F6138">
        <w:rPr>
          <w:rFonts w:ascii="Times New Roman" w:hAnsi="Times New Roman" w:cs="Times New Roman"/>
        </w:rPr>
        <w:tab/>
      </w:r>
      <w:proofErr w:type="spellStart"/>
      <w:r w:rsidRPr="005F6138">
        <w:rPr>
          <w:rFonts w:ascii="Times New Roman" w:hAnsi="Times New Roman" w:cs="Times New Roman"/>
        </w:rPr>
        <w:t>Mervis</w:t>
      </w:r>
      <w:proofErr w:type="spellEnd"/>
      <w:r w:rsidRPr="005F6138">
        <w:rPr>
          <w:rFonts w:ascii="Times New Roman" w:hAnsi="Times New Roman" w:cs="Times New Roman"/>
        </w:rPr>
        <w:t xml:space="preserve">, J. Can a set of equations keep U.S. census data private? </w:t>
      </w:r>
      <w:r w:rsidRPr="005F6138">
        <w:rPr>
          <w:rFonts w:ascii="Times New Roman" w:hAnsi="Times New Roman" w:cs="Times New Roman"/>
          <w:i/>
          <w:iCs/>
        </w:rPr>
        <w:t>Science</w:t>
      </w:r>
      <w:r w:rsidRPr="005F6138">
        <w:rPr>
          <w:rFonts w:ascii="Times New Roman" w:hAnsi="Times New Roman" w:cs="Times New Roman"/>
        </w:rPr>
        <w:t xml:space="preserve"> (2019) doi:10.1126/science.aaw5470.</w:t>
      </w:r>
    </w:p>
    <w:p w14:paraId="7B2E852B" w14:textId="77777777" w:rsidR="005F6138" w:rsidRPr="005F6138" w:rsidRDefault="005F6138" w:rsidP="005F6138">
      <w:pPr>
        <w:pStyle w:val="Bibliography"/>
        <w:rPr>
          <w:rFonts w:ascii="Times New Roman" w:hAnsi="Times New Roman" w:cs="Times New Roman"/>
        </w:rPr>
      </w:pPr>
      <w:r w:rsidRPr="005F6138">
        <w:rPr>
          <w:rFonts w:ascii="Times New Roman" w:hAnsi="Times New Roman" w:cs="Times New Roman"/>
        </w:rPr>
        <w:t>5.</w:t>
      </w:r>
      <w:r w:rsidRPr="005F6138">
        <w:rPr>
          <w:rFonts w:ascii="Times New Roman" w:hAnsi="Times New Roman" w:cs="Times New Roman"/>
        </w:rPr>
        <w:tab/>
      </w:r>
      <w:proofErr w:type="spellStart"/>
      <w:r w:rsidRPr="005F6138">
        <w:rPr>
          <w:rFonts w:ascii="Times New Roman" w:hAnsi="Times New Roman" w:cs="Times New Roman"/>
        </w:rPr>
        <w:t>Zayatz</w:t>
      </w:r>
      <w:proofErr w:type="spellEnd"/>
      <w:r w:rsidRPr="005F6138">
        <w:rPr>
          <w:rFonts w:ascii="Times New Roman" w:hAnsi="Times New Roman" w:cs="Times New Roman"/>
        </w:rPr>
        <w:t xml:space="preserve">, L. Disclosure avoidance practices and research at the US Census Bureau: An update. </w:t>
      </w:r>
      <w:r w:rsidRPr="005F6138">
        <w:rPr>
          <w:rFonts w:ascii="Times New Roman" w:hAnsi="Times New Roman" w:cs="Times New Roman"/>
          <w:i/>
          <w:iCs/>
        </w:rPr>
        <w:t>J. Off. Stat.</w:t>
      </w:r>
      <w:r w:rsidRPr="005F6138">
        <w:rPr>
          <w:rFonts w:ascii="Times New Roman" w:hAnsi="Times New Roman" w:cs="Times New Roman"/>
        </w:rPr>
        <w:t xml:space="preserve"> </w:t>
      </w:r>
      <w:r w:rsidRPr="005F6138">
        <w:rPr>
          <w:rFonts w:ascii="Times New Roman" w:hAnsi="Times New Roman" w:cs="Times New Roman"/>
          <w:b/>
          <w:bCs/>
        </w:rPr>
        <w:t>23</w:t>
      </w:r>
      <w:r w:rsidRPr="005F6138">
        <w:rPr>
          <w:rFonts w:ascii="Times New Roman" w:hAnsi="Times New Roman" w:cs="Times New Roman"/>
        </w:rPr>
        <w:t>, 253 (2007).</w:t>
      </w:r>
    </w:p>
    <w:p w14:paraId="42B7AA9F" w14:textId="77777777" w:rsidR="005F6138" w:rsidRPr="005F6138" w:rsidRDefault="005F6138" w:rsidP="005F6138">
      <w:pPr>
        <w:pStyle w:val="Bibliography"/>
        <w:rPr>
          <w:rFonts w:ascii="Times New Roman" w:hAnsi="Times New Roman" w:cs="Times New Roman"/>
        </w:rPr>
      </w:pPr>
      <w:r w:rsidRPr="005F6138">
        <w:rPr>
          <w:rFonts w:ascii="Times New Roman" w:hAnsi="Times New Roman" w:cs="Times New Roman"/>
        </w:rPr>
        <w:t>6.</w:t>
      </w:r>
      <w:r w:rsidRPr="005F6138">
        <w:rPr>
          <w:rFonts w:ascii="Times New Roman" w:hAnsi="Times New Roman" w:cs="Times New Roman"/>
        </w:rPr>
        <w:tab/>
        <w:t xml:space="preserve">Ruggles, S., Fitch, C., Magnuson, D. &amp; Schroeder, J. Differential privacy and census data: Implications for social and economic research. in </w:t>
      </w:r>
      <w:r w:rsidRPr="005F6138">
        <w:rPr>
          <w:rFonts w:ascii="Times New Roman" w:hAnsi="Times New Roman" w:cs="Times New Roman"/>
          <w:i/>
          <w:iCs/>
        </w:rPr>
        <w:t>AEA papers and proceedings</w:t>
      </w:r>
      <w:r w:rsidRPr="005F6138">
        <w:rPr>
          <w:rFonts w:ascii="Times New Roman" w:hAnsi="Times New Roman" w:cs="Times New Roman"/>
        </w:rPr>
        <w:t xml:space="preserve"> vol. 109 403–08 (2019).</w:t>
      </w:r>
    </w:p>
    <w:p w14:paraId="1B197419" w14:textId="77777777" w:rsidR="005F6138" w:rsidRPr="005F6138" w:rsidRDefault="005F6138" w:rsidP="005F6138">
      <w:pPr>
        <w:pStyle w:val="Bibliography"/>
        <w:rPr>
          <w:rFonts w:ascii="Times New Roman" w:hAnsi="Times New Roman" w:cs="Times New Roman"/>
        </w:rPr>
      </w:pPr>
      <w:r w:rsidRPr="005F6138">
        <w:rPr>
          <w:rFonts w:ascii="Times New Roman" w:hAnsi="Times New Roman" w:cs="Times New Roman"/>
        </w:rPr>
        <w:t>7.</w:t>
      </w:r>
      <w:r w:rsidRPr="005F6138">
        <w:rPr>
          <w:rFonts w:ascii="Times New Roman" w:hAnsi="Times New Roman" w:cs="Times New Roman"/>
        </w:rPr>
        <w:tab/>
        <w:t>National Historical GIS. Differentially Private 2010 Census Data. https://www.nhgis.org/differentially-private-2010-census-data (2019).</w:t>
      </w:r>
    </w:p>
    <w:p w14:paraId="3A87B0DC" w14:textId="77777777" w:rsidR="005F6138" w:rsidRPr="005F6138" w:rsidRDefault="005F6138" w:rsidP="005F6138">
      <w:pPr>
        <w:pStyle w:val="Bibliography"/>
        <w:rPr>
          <w:rFonts w:ascii="Times New Roman" w:hAnsi="Times New Roman" w:cs="Times New Roman"/>
        </w:rPr>
      </w:pPr>
      <w:r w:rsidRPr="005F6138">
        <w:rPr>
          <w:rFonts w:ascii="Times New Roman" w:hAnsi="Times New Roman" w:cs="Times New Roman"/>
        </w:rPr>
        <w:t>8.</w:t>
      </w:r>
      <w:r w:rsidRPr="005F6138">
        <w:rPr>
          <w:rFonts w:ascii="Times New Roman" w:hAnsi="Times New Roman" w:cs="Times New Roman"/>
        </w:rPr>
        <w:tab/>
        <w:t xml:space="preserve">Santos-Lozada, A. R., Howard, J. T. &amp; </w:t>
      </w:r>
      <w:proofErr w:type="spellStart"/>
      <w:r w:rsidRPr="005F6138">
        <w:rPr>
          <w:rFonts w:ascii="Times New Roman" w:hAnsi="Times New Roman" w:cs="Times New Roman"/>
        </w:rPr>
        <w:t>Verdery</w:t>
      </w:r>
      <w:proofErr w:type="spellEnd"/>
      <w:r w:rsidRPr="005F6138">
        <w:rPr>
          <w:rFonts w:ascii="Times New Roman" w:hAnsi="Times New Roman" w:cs="Times New Roman"/>
        </w:rPr>
        <w:t xml:space="preserve">, A. M. How differential privacy will affect our understanding of health disparities in the United States. </w:t>
      </w:r>
      <w:r w:rsidRPr="005F6138">
        <w:rPr>
          <w:rFonts w:ascii="Times New Roman" w:hAnsi="Times New Roman" w:cs="Times New Roman"/>
          <w:i/>
          <w:iCs/>
        </w:rPr>
        <w:t>Proc. Natl. Acad. Sci.</w:t>
      </w:r>
      <w:r w:rsidRPr="005F6138">
        <w:rPr>
          <w:rFonts w:ascii="Times New Roman" w:hAnsi="Times New Roman" w:cs="Times New Roman"/>
        </w:rPr>
        <w:t xml:space="preserve"> (2020) doi:10.1073/pnas.2003714117.</w:t>
      </w:r>
    </w:p>
    <w:p w14:paraId="0298B03B" w14:textId="77777777" w:rsidR="005F6138" w:rsidRPr="005F6138" w:rsidRDefault="005F6138" w:rsidP="005F6138">
      <w:pPr>
        <w:pStyle w:val="Bibliography"/>
        <w:rPr>
          <w:rFonts w:ascii="Times New Roman" w:hAnsi="Times New Roman" w:cs="Times New Roman"/>
        </w:rPr>
      </w:pPr>
      <w:r w:rsidRPr="005F6138">
        <w:rPr>
          <w:rFonts w:ascii="Times New Roman" w:hAnsi="Times New Roman" w:cs="Times New Roman"/>
        </w:rPr>
        <w:t>9.</w:t>
      </w:r>
      <w:r w:rsidRPr="005F6138">
        <w:rPr>
          <w:rFonts w:ascii="Times New Roman" w:hAnsi="Times New Roman" w:cs="Times New Roman"/>
        </w:rPr>
        <w:tab/>
        <w:t xml:space="preserve">Hooper, M. W., </w:t>
      </w:r>
      <w:proofErr w:type="spellStart"/>
      <w:r w:rsidRPr="005F6138">
        <w:rPr>
          <w:rFonts w:ascii="Times New Roman" w:hAnsi="Times New Roman" w:cs="Times New Roman"/>
        </w:rPr>
        <w:t>Nápoles</w:t>
      </w:r>
      <w:proofErr w:type="spellEnd"/>
      <w:r w:rsidRPr="005F6138">
        <w:rPr>
          <w:rFonts w:ascii="Times New Roman" w:hAnsi="Times New Roman" w:cs="Times New Roman"/>
        </w:rPr>
        <w:t xml:space="preserve">, A. M. &amp; Pérez-Stable, E. J. COVID-19 and racial/ethnic disparities. </w:t>
      </w:r>
      <w:r w:rsidRPr="005F6138">
        <w:rPr>
          <w:rFonts w:ascii="Times New Roman" w:hAnsi="Times New Roman" w:cs="Times New Roman"/>
          <w:i/>
          <w:iCs/>
        </w:rPr>
        <w:t>Jama</w:t>
      </w:r>
      <w:r w:rsidRPr="005F6138">
        <w:rPr>
          <w:rFonts w:ascii="Times New Roman" w:hAnsi="Times New Roman" w:cs="Times New Roman"/>
        </w:rPr>
        <w:t xml:space="preserve"> (2020).</w:t>
      </w:r>
    </w:p>
    <w:p w14:paraId="36AD85C6" w14:textId="77777777" w:rsidR="005F6138" w:rsidRPr="005F6138" w:rsidRDefault="005F6138" w:rsidP="005F6138">
      <w:pPr>
        <w:pStyle w:val="Bibliography"/>
        <w:rPr>
          <w:rFonts w:ascii="Times New Roman" w:hAnsi="Times New Roman" w:cs="Times New Roman"/>
        </w:rPr>
      </w:pPr>
      <w:r w:rsidRPr="005F6138">
        <w:rPr>
          <w:rFonts w:ascii="Times New Roman" w:hAnsi="Times New Roman" w:cs="Times New Roman"/>
        </w:rPr>
        <w:t>10.</w:t>
      </w:r>
      <w:r w:rsidRPr="005F6138">
        <w:rPr>
          <w:rFonts w:ascii="Times New Roman" w:hAnsi="Times New Roman" w:cs="Times New Roman"/>
        </w:rPr>
        <w:tab/>
        <w:t xml:space="preserve">Abowd, J. M. &amp; </w:t>
      </w:r>
      <w:proofErr w:type="spellStart"/>
      <w:r w:rsidRPr="005F6138">
        <w:rPr>
          <w:rFonts w:ascii="Times New Roman" w:hAnsi="Times New Roman" w:cs="Times New Roman"/>
        </w:rPr>
        <w:t>Schmutte</w:t>
      </w:r>
      <w:proofErr w:type="spellEnd"/>
      <w:r w:rsidRPr="005F6138">
        <w:rPr>
          <w:rFonts w:ascii="Times New Roman" w:hAnsi="Times New Roman" w:cs="Times New Roman"/>
        </w:rPr>
        <w:t xml:space="preserve">, I. M. An Economic Analysis of Privacy Protection and Statistical Accuracy as Social Choices. </w:t>
      </w:r>
      <w:r w:rsidRPr="005F6138">
        <w:rPr>
          <w:rFonts w:ascii="Times New Roman" w:hAnsi="Times New Roman" w:cs="Times New Roman"/>
          <w:i/>
          <w:iCs/>
        </w:rPr>
        <w:t>Am. Econ. Rev.</w:t>
      </w:r>
      <w:r w:rsidRPr="005F6138">
        <w:rPr>
          <w:rFonts w:ascii="Times New Roman" w:hAnsi="Times New Roman" w:cs="Times New Roman"/>
        </w:rPr>
        <w:t xml:space="preserve"> </w:t>
      </w:r>
      <w:r w:rsidRPr="005F6138">
        <w:rPr>
          <w:rFonts w:ascii="Times New Roman" w:hAnsi="Times New Roman" w:cs="Times New Roman"/>
          <w:b/>
          <w:bCs/>
        </w:rPr>
        <w:t>109</w:t>
      </w:r>
      <w:r w:rsidRPr="005F6138">
        <w:rPr>
          <w:rFonts w:ascii="Times New Roman" w:hAnsi="Times New Roman" w:cs="Times New Roman"/>
        </w:rPr>
        <w:t>, 171–202 (2019).</w:t>
      </w:r>
    </w:p>
    <w:p w14:paraId="6588DB53" w14:textId="0E8123F8"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6DA0B947" w:rsidR="00783A55" w:rsidRPr="00783A55" w:rsidRDefault="00F17405" w:rsidP="00783A55">
      <w:pPr>
        <w:jc w:val="both"/>
        <w:rPr>
          <w:rFonts w:ascii="Times New Roman" w:hAnsi="Times New Roman" w:cs="Times New Roman"/>
        </w:rPr>
      </w:pPr>
      <w:r>
        <w:rPr>
          <w:rFonts w:ascii="Times New Roman" w:hAnsi="Times New Roman" w:cs="Times New Roman"/>
          <w:b/>
        </w:rPr>
        <w:lastRenderedPageBreak/>
        <w:t xml:space="preserve">Supp. </w:t>
      </w:r>
      <w:r w:rsidR="00783A55" w:rsidRPr="00783A55">
        <w:rPr>
          <w:rFonts w:ascii="Times New Roman" w:hAnsi="Times New Roman" w:cs="Times New Roman"/>
          <w:b/>
        </w:rPr>
        <w:t>Figure 1</w:t>
      </w:r>
      <w:r w:rsidR="00783A55" w:rsidRPr="00783A55">
        <w:rPr>
          <w:rFonts w:ascii="Times New Roman" w:hAnsi="Times New Roman" w:cs="Times New Roman"/>
        </w:rPr>
        <w:t xml:space="preserve"> </w:t>
      </w:r>
      <w:r w:rsidR="00783A55">
        <w:rPr>
          <w:rFonts w:ascii="Times New Roman" w:hAnsi="Times New Roman" w:cs="Times New Roman"/>
        </w:rPr>
        <w:t>C</w:t>
      </w:r>
      <w:r w:rsidR="00783A55" w:rsidRPr="00783A55">
        <w:rPr>
          <w:rFonts w:ascii="Times New Roman" w:hAnsi="Times New Roman" w:cs="Times New Roman"/>
        </w:rPr>
        <w:t xml:space="preserve">hanges in age-sex structures due to the implementation of differential privacy in 2010 U.S. Census data </w:t>
      </w:r>
    </w:p>
    <w:p w14:paraId="4F3BF732" w14:textId="77777777" w:rsidR="00783A55" w:rsidRPr="00783A55" w:rsidRDefault="00783A55" w:rsidP="00783A55">
      <w:pPr>
        <w:rPr>
          <w:rFonts w:ascii="Times New Roman" w:hAnsi="Times New Roman" w:cs="Times New Roman"/>
        </w:rPr>
      </w:pPr>
      <w:r w:rsidRPr="00783A55">
        <w:rPr>
          <w:rFonts w:ascii="Times New Roman" w:hAnsi="Times New Roman" w:cs="Times New Roman"/>
          <w:noProof/>
        </w:rPr>
        <w:drawing>
          <wp:inline distT="0" distB="0" distL="0" distR="0" wp14:anchorId="4A872715" wp14:editId="3DF33C60">
            <wp:extent cx="5943600" cy="3723290"/>
            <wp:effectExtent l="0" t="0" r="0" b="0"/>
            <wp:docPr id="2" name="Picture 2" descr="C:\Users\ars39\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s39\Download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3290"/>
                    </a:xfrm>
                    <a:prstGeom prst="rect">
                      <a:avLst/>
                    </a:prstGeom>
                    <a:noFill/>
                    <a:ln>
                      <a:noFill/>
                    </a:ln>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210E6FDC"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6BD26DB1" w:rsidR="00783A55" w:rsidRDefault="00837249"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2C70C2D" wp14:editId="23D7A951">
            <wp:extent cx="5943600" cy="3782060"/>
            <wp:effectExtent l="0" t="0" r="0" b="8890"/>
            <wp:docPr id="4" name="Picture 4" descr="A picture containing text, map, tab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tbl>
      <w:tblPr>
        <w:tblW w:w="0" w:type="auto"/>
        <w:tblLook w:val="04A0" w:firstRow="1" w:lastRow="0" w:firstColumn="1" w:lastColumn="0" w:noHBand="0" w:noVBand="1"/>
      </w:tblPr>
      <w:tblGrid>
        <w:gridCol w:w="1035"/>
        <w:gridCol w:w="1668"/>
        <w:gridCol w:w="1717"/>
        <w:gridCol w:w="989"/>
        <w:gridCol w:w="2724"/>
      </w:tblGrid>
      <w:tr w:rsidR="00460E4A" w:rsidRPr="00460E4A" w14:paraId="5214B703" w14:textId="77777777" w:rsidTr="00460E4A">
        <w:trPr>
          <w:trHeight w:val="300"/>
        </w:trPr>
        <w:tc>
          <w:tcPr>
            <w:tcW w:w="0" w:type="auto"/>
            <w:tcBorders>
              <w:top w:val="nil"/>
              <w:left w:val="nil"/>
              <w:bottom w:val="single" w:sz="4" w:space="0" w:color="auto"/>
              <w:right w:val="nil"/>
            </w:tcBorders>
            <w:shd w:val="clear" w:color="auto" w:fill="auto"/>
            <w:noWrap/>
            <w:vAlign w:val="bottom"/>
            <w:hideMark/>
          </w:tcPr>
          <w:p w14:paraId="5A52E2B9"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Pop. Size</w:t>
            </w:r>
          </w:p>
        </w:tc>
        <w:tc>
          <w:tcPr>
            <w:tcW w:w="0" w:type="auto"/>
            <w:tcBorders>
              <w:top w:val="nil"/>
              <w:left w:val="nil"/>
              <w:bottom w:val="single" w:sz="4" w:space="0" w:color="auto"/>
              <w:right w:val="nil"/>
            </w:tcBorders>
            <w:shd w:val="clear" w:color="auto" w:fill="auto"/>
            <w:noWrap/>
            <w:vAlign w:val="bottom"/>
            <w:hideMark/>
          </w:tcPr>
          <w:p w14:paraId="38D0B30B" w14:textId="7E1EC11C"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Me</w:t>
            </w:r>
            <w:r w:rsidR="00B6743C">
              <w:rPr>
                <w:rFonts w:ascii="Calibri" w:eastAsia="Times New Roman" w:hAnsi="Calibri" w:cs="Calibri"/>
                <w:b/>
                <w:bCs/>
                <w:color w:val="000000"/>
              </w:rPr>
              <w:t>d.</w:t>
            </w:r>
            <w:r w:rsidRPr="00460E4A">
              <w:rPr>
                <w:rFonts w:ascii="Calibri" w:eastAsia="Times New Roman" w:hAnsi="Calibri" w:cs="Calibri"/>
                <w:b/>
                <w:bCs/>
                <w:color w:val="000000"/>
              </w:rPr>
              <w:t xml:space="preserve"> Abs. % Err</w:t>
            </w:r>
          </w:p>
        </w:tc>
        <w:tc>
          <w:tcPr>
            <w:tcW w:w="0" w:type="auto"/>
            <w:tcBorders>
              <w:top w:val="nil"/>
              <w:left w:val="nil"/>
              <w:bottom w:val="single" w:sz="4" w:space="0" w:color="auto"/>
              <w:right w:val="nil"/>
            </w:tcBorders>
            <w:shd w:val="clear" w:color="auto" w:fill="auto"/>
            <w:noWrap/>
            <w:vAlign w:val="bottom"/>
            <w:hideMark/>
          </w:tcPr>
          <w:p w14:paraId="39716CB0" w14:textId="0D85A1CE"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Me</w:t>
            </w:r>
            <w:r w:rsidR="00B6743C">
              <w:rPr>
                <w:rFonts w:ascii="Calibri" w:eastAsia="Times New Roman" w:hAnsi="Calibri" w:cs="Calibri"/>
                <w:b/>
                <w:bCs/>
                <w:color w:val="000000"/>
              </w:rPr>
              <w:t>an</w:t>
            </w:r>
            <w:r w:rsidRPr="00460E4A">
              <w:rPr>
                <w:rFonts w:ascii="Calibri" w:eastAsia="Times New Roman" w:hAnsi="Calibri" w:cs="Calibri"/>
                <w:b/>
                <w:bCs/>
                <w:color w:val="000000"/>
              </w:rPr>
              <w:t xml:space="preserve"> Abs. % Err</w:t>
            </w:r>
          </w:p>
        </w:tc>
        <w:tc>
          <w:tcPr>
            <w:tcW w:w="0" w:type="auto"/>
            <w:tcBorders>
              <w:top w:val="nil"/>
              <w:left w:val="nil"/>
              <w:bottom w:val="single" w:sz="4" w:space="0" w:color="auto"/>
              <w:right w:val="nil"/>
            </w:tcBorders>
            <w:shd w:val="clear" w:color="auto" w:fill="auto"/>
            <w:noWrap/>
            <w:vAlign w:val="bottom"/>
            <w:hideMark/>
          </w:tcPr>
          <w:p w14:paraId="4F635E8C"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n</w:t>
            </w:r>
          </w:p>
        </w:tc>
        <w:tc>
          <w:tcPr>
            <w:tcW w:w="0" w:type="auto"/>
            <w:tcBorders>
              <w:top w:val="nil"/>
              <w:left w:val="nil"/>
              <w:bottom w:val="single" w:sz="4" w:space="0" w:color="auto"/>
              <w:right w:val="nil"/>
            </w:tcBorders>
            <w:shd w:val="clear" w:color="auto" w:fill="auto"/>
            <w:noWrap/>
            <w:vAlign w:val="bottom"/>
            <w:hideMark/>
          </w:tcPr>
          <w:p w14:paraId="322F0D0F"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 of county-age-sex groups</w:t>
            </w:r>
          </w:p>
        </w:tc>
      </w:tr>
      <w:tr w:rsidR="00460E4A" w:rsidRPr="00460E4A" w14:paraId="54F4C987" w14:textId="77777777" w:rsidTr="00460E4A">
        <w:trPr>
          <w:trHeight w:val="300"/>
        </w:trPr>
        <w:tc>
          <w:tcPr>
            <w:tcW w:w="0" w:type="auto"/>
            <w:tcBorders>
              <w:top w:val="single" w:sz="4" w:space="0" w:color="auto"/>
              <w:left w:val="nil"/>
              <w:bottom w:val="nil"/>
              <w:right w:val="nil"/>
            </w:tcBorders>
            <w:shd w:val="clear" w:color="auto" w:fill="auto"/>
            <w:noWrap/>
            <w:vAlign w:val="center"/>
            <w:hideMark/>
          </w:tcPr>
          <w:p w14:paraId="7FBDE1A0"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1,000</w:t>
            </w:r>
          </w:p>
        </w:tc>
        <w:tc>
          <w:tcPr>
            <w:tcW w:w="0" w:type="auto"/>
            <w:tcBorders>
              <w:top w:val="single" w:sz="4" w:space="0" w:color="auto"/>
              <w:left w:val="nil"/>
              <w:bottom w:val="nil"/>
              <w:right w:val="nil"/>
            </w:tcBorders>
            <w:shd w:val="clear" w:color="auto" w:fill="auto"/>
            <w:noWrap/>
            <w:vAlign w:val="center"/>
            <w:hideMark/>
          </w:tcPr>
          <w:p w14:paraId="3285BAC6"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13.4%</w:t>
            </w:r>
          </w:p>
        </w:tc>
        <w:tc>
          <w:tcPr>
            <w:tcW w:w="0" w:type="auto"/>
            <w:tcBorders>
              <w:top w:val="single" w:sz="4" w:space="0" w:color="auto"/>
              <w:left w:val="nil"/>
              <w:bottom w:val="nil"/>
              <w:right w:val="nil"/>
            </w:tcBorders>
            <w:shd w:val="clear" w:color="auto" w:fill="auto"/>
            <w:noWrap/>
            <w:vAlign w:val="center"/>
            <w:hideMark/>
          </w:tcPr>
          <w:p w14:paraId="4F5B1D50"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40.9%</w:t>
            </w:r>
          </w:p>
        </w:tc>
        <w:tc>
          <w:tcPr>
            <w:tcW w:w="0" w:type="auto"/>
            <w:tcBorders>
              <w:top w:val="single" w:sz="4" w:space="0" w:color="auto"/>
              <w:left w:val="nil"/>
              <w:bottom w:val="nil"/>
              <w:right w:val="nil"/>
            </w:tcBorders>
            <w:shd w:val="clear" w:color="auto" w:fill="auto"/>
            <w:noWrap/>
            <w:vAlign w:val="center"/>
            <w:hideMark/>
          </w:tcPr>
          <w:p w14:paraId="758068AA"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17,950 </w:t>
            </w:r>
          </w:p>
        </w:tc>
        <w:tc>
          <w:tcPr>
            <w:tcW w:w="0" w:type="auto"/>
            <w:tcBorders>
              <w:top w:val="single" w:sz="4" w:space="0" w:color="auto"/>
              <w:left w:val="nil"/>
              <w:bottom w:val="nil"/>
              <w:right w:val="nil"/>
            </w:tcBorders>
            <w:shd w:val="clear" w:color="auto" w:fill="auto"/>
            <w:noWrap/>
            <w:vAlign w:val="center"/>
            <w:hideMark/>
          </w:tcPr>
          <w:p w14:paraId="5A3C437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42.9%</w:t>
            </w:r>
          </w:p>
        </w:tc>
      </w:tr>
      <w:tr w:rsidR="00460E4A" w:rsidRPr="00460E4A" w14:paraId="128AC335" w14:textId="77777777" w:rsidTr="00460E4A">
        <w:trPr>
          <w:trHeight w:val="300"/>
        </w:trPr>
        <w:tc>
          <w:tcPr>
            <w:tcW w:w="0" w:type="auto"/>
            <w:tcBorders>
              <w:top w:val="nil"/>
              <w:left w:val="nil"/>
              <w:bottom w:val="nil"/>
              <w:right w:val="nil"/>
            </w:tcBorders>
            <w:shd w:val="clear" w:color="auto" w:fill="auto"/>
            <w:noWrap/>
            <w:vAlign w:val="center"/>
            <w:hideMark/>
          </w:tcPr>
          <w:p w14:paraId="4DE41AB5"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42E1635A"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BAD461D"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2167BF3F"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28,836 </w:t>
            </w:r>
          </w:p>
        </w:tc>
        <w:tc>
          <w:tcPr>
            <w:tcW w:w="0" w:type="auto"/>
            <w:tcBorders>
              <w:top w:val="nil"/>
              <w:left w:val="nil"/>
              <w:bottom w:val="nil"/>
              <w:right w:val="nil"/>
            </w:tcBorders>
            <w:shd w:val="clear" w:color="auto" w:fill="auto"/>
            <w:noWrap/>
            <w:vAlign w:val="center"/>
            <w:hideMark/>
          </w:tcPr>
          <w:p w14:paraId="24209F44"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69.0%</w:t>
            </w:r>
          </w:p>
        </w:tc>
      </w:tr>
      <w:tr w:rsidR="00460E4A" w:rsidRPr="00460E4A" w14:paraId="67FC2F99" w14:textId="77777777" w:rsidTr="00460E4A">
        <w:trPr>
          <w:trHeight w:val="300"/>
        </w:trPr>
        <w:tc>
          <w:tcPr>
            <w:tcW w:w="0" w:type="auto"/>
            <w:tcBorders>
              <w:top w:val="nil"/>
              <w:left w:val="nil"/>
              <w:bottom w:val="nil"/>
              <w:right w:val="nil"/>
            </w:tcBorders>
            <w:shd w:val="clear" w:color="auto" w:fill="auto"/>
            <w:noWrap/>
            <w:vAlign w:val="center"/>
            <w:hideMark/>
          </w:tcPr>
          <w:p w14:paraId="706F7103"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7E4F7918"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49E59B68"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0887D135"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34,379 </w:t>
            </w:r>
          </w:p>
        </w:tc>
        <w:tc>
          <w:tcPr>
            <w:tcW w:w="0" w:type="auto"/>
            <w:tcBorders>
              <w:top w:val="nil"/>
              <w:left w:val="nil"/>
              <w:bottom w:val="nil"/>
              <w:right w:val="nil"/>
            </w:tcBorders>
            <w:shd w:val="clear" w:color="auto" w:fill="auto"/>
            <w:noWrap/>
            <w:vAlign w:val="center"/>
            <w:hideMark/>
          </w:tcPr>
          <w:p w14:paraId="5D718B5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82.2%</w:t>
            </w:r>
          </w:p>
        </w:tc>
      </w:tr>
      <w:tr w:rsidR="00460E4A" w:rsidRPr="00460E4A" w14:paraId="74856C47" w14:textId="77777777" w:rsidTr="00460E4A">
        <w:trPr>
          <w:trHeight w:val="300"/>
        </w:trPr>
        <w:tc>
          <w:tcPr>
            <w:tcW w:w="0" w:type="auto"/>
            <w:tcBorders>
              <w:top w:val="nil"/>
              <w:left w:val="nil"/>
              <w:bottom w:val="nil"/>
              <w:right w:val="nil"/>
            </w:tcBorders>
            <w:shd w:val="clear" w:color="auto" w:fill="auto"/>
            <w:noWrap/>
            <w:vAlign w:val="center"/>
            <w:hideMark/>
          </w:tcPr>
          <w:p w14:paraId="50BADEFE"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2C098B0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05270301"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44AAFC14"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37,711 </w:t>
            </w:r>
          </w:p>
        </w:tc>
        <w:tc>
          <w:tcPr>
            <w:tcW w:w="0" w:type="auto"/>
            <w:tcBorders>
              <w:top w:val="nil"/>
              <w:left w:val="nil"/>
              <w:bottom w:val="nil"/>
              <w:right w:val="nil"/>
            </w:tcBorders>
            <w:shd w:val="clear" w:color="auto" w:fill="auto"/>
            <w:noWrap/>
            <w:vAlign w:val="center"/>
            <w:hideMark/>
          </w:tcPr>
          <w:p w14:paraId="6E956660"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90.2%</w:t>
            </w:r>
          </w:p>
        </w:tc>
      </w:tr>
      <w:tr w:rsidR="00460E4A" w:rsidRPr="00460E4A" w14:paraId="31F66397" w14:textId="77777777" w:rsidTr="00460E4A">
        <w:trPr>
          <w:trHeight w:val="300"/>
        </w:trPr>
        <w:tc>
          <w:tcPr>
            <w:tcW w:w="0" w:type="auto"/>
            <w:tcBorders>
              <w:top w:val="nil"/>
              <w:left w:val="nil"/>
              <w:right w:val="nil"/>
            </w:tcBorders>
            <w:shd w:val="clear" w:color="auto" w:fill="auto"/>
            <w:noWrap/>
            <w:vAlign w:val="center"/>
            <w:hideMark/>
          </w:tcPr>
          <w:p w14:paraId="3D97E64A"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20,000</w:t>
            </w:r>
          </w:p>
        </w:tc>
        <w:tc>
          <w:tcPr>
            <w:tcW w:w="0" w:type="auto"/>
            <w:tcBorders>
              <w:top w:val="nil"/>
              <w:left w:val="nil"/>
              <w:right w:val="nil"/>
            </w:tcBorders>
            <w:shd w:val="clear" w:color="auto" w:fill="auto"/>
            <w:noWrap/>
            <w:vAlign w:val="center"/>
            <w:hideMark/>
          </w:tcPr>
          <w:p w14:paraId="076A8086"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5.0%</w:t>
            </w:r>
          </w:p>
        </w:tc>
        <w:tc>
          <w:tcPr>
            <w:tcW w:w="0" w:type="auto"/>
            <w:tcBorders>
              <w:top w:val="nil"/>
              <w:left w:val="nil"/>
              <w:right w:val="nil"/>
            </w:tcBorders>
            <w:shd w:val="clear" w:color="auto" w:fill="auto"/>
            <w:noWrap/>
            <w:vAlign w:val="center"/>
            <w:hideMark/>
          </w:tcPr>
          <w:p w14:paraId="1BD14DC7"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20.5%</w:t>
            </w:r>
          </w:p>
        </w:tc>
        <w:tc>
          <w:tcPr>
            <w:tcW w:w="0" w:type="auto"/>
            <w:tcBorders>
              <w:top w:val="nil"/>
              <w:left w:val="nil"/>
              <w:right w:val="nil"/>
            </w:tcBorders>
            <w:shd w:val="clear" w:color="auto" w:fill="auto"/>
            <w:noWrap/>
            <w:vAlign w:val="center"/>
            <w:hideMark/>
          </w:tcPr>
          <w:p w14:paraId="47A18E81"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39,735 </w:t>
            </w:r>
          </w:p>
        </w:tc>
        <w:tc>
          <w:tcPr>
            <w:tcW w:w="0" w:type="auto"/>
            <w:tcBorders>
              <w:top w:val="nil"/>
              <w:left w:val="nil"/>
              <w:right w:val="nil"/>
            </w:tcBorders>
            <w:shd w:val="clear" w:color="auto" w:fill="auto"/>
            <w:noWrap/>
            <w:vAlign w:val="center"/>
            <w:hideMark/>
          </w:tcPr>
          <w:p w14:paraId="1BE4C21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95.0%</w:t>
            </w:r>
          </w:p>
        </w:tc>
      </w:tr>
      <w:tr w:rsidR="00460E4A" w:rsidRPr="00460E4A" w14:paraId="274337DD" w14:textId="77777777" w:rsidTr="00460E4A">
        <w:trPr>
          <w:trHeight w:val="300"/>
        </w:trPr>
        <w:tc>
          <w:tcPr>
            <w:tcW w:w="0" w:type="auto"/>
            <w:tcBorders>
              <w:top w:val="nil"/>
              <w:left w:val="nil"/>
              <w:bottom w:val="single" w:sz="4" w:space="0" w:color="auto"/>
              <w:right w:val="nil"/>
            </w:tcBorders>
            <w:shd w:val="clear" w:color="auto" w:fill="auto"/>
            <w:noWrap/>
            <w:vAlign w:val="center"/>
            <w:hideMark/>
          </w:tcPr>
          <w:p w14:paraId="54576807"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All</w:t>
            </w:r>
          </w:p>
        </w:tc>
        <w:tc>
          <w:tcPr>
            <w:tcW w:w="0" w:type="auto"/>
            <w:tcBorders>
              <w:top w:val="nil"/>
              <w:left w:val="nil"/>
              <w:bottom w:val="single" w:sz="4" w:space="0" w:color="auto"/>
              <w:right w:val="nil"/>
            </w:tcBorders>
            <w:shd w:val="clear" w:color="auto" w:fill="auto"/>
            <w:noWrap/>
            <w:vAlign w:val="center"/>
            <w:hideMark/>
          </w:tcPr>
          <w:p w14:paraId="383EBC0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4.6%</w:t>
            </w:r>
          </w:p>
        </w:tc>
        <w:tc>
          <w:tcPr>
            <w:tcW w:w="0" w:type="auto"/>
            <w:tcBorders>
              <w:top w:val="nil"/>
              <w:left w:val="nil"/>
              <w:bottom w:val="single" w:sz="4" w:space="0" w:color="auto"/>
              <w:right w:val="nil"/>
            </w:tcBorders>
            <w:shd w:val="clear" w:color="auto" w:fill="auto"/>
            <w:noWrap/>
            <w:vAlign w:val="center"/>
            <w:hideMark/>
          </w:tcPr>
          <w:p w14:paraId="59BFDFB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19.5%</w:t>
            </w:r>
          </w:p>
        </w:tc>
        <w:tc>
          <w:tcPr>
            <w:tcW w:w="0" w:type="auto"/>
            <w:tcBorders>
              <w:top w:val="nil"/>
              <w:left w:val="nil"/>
              <w:bottom w:val="single" w:sz="4" w:space="0" w:color="auto"/>
              <w:right w:val="nil"/>
            </w:tcBorders>
            <w:shd w:val="clear" w:color="auto" w:fill="auto"/>
            <w:noWrap/>
            <w:vAlign w:val="center"/>
            <w:hideMark/>
          </w:tcPr>
          <w:p w14:paraId="30F719EC"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41,812 </w:t>
            </w:r>
          </w:p>
        </w:tc>
        <w:tc>
          <w:tcPr>
            <w:tcW w:w="0" w:type="auto"/>
            <w:tcBorders>
              <w:top w:val="nil"/>
              <w:left w:val="nil"/>
              <w:bottom w:val="single" w:sz="4" w:space="0" w:color="auto"/>
              <w:right w:val="nil"/>
            </w:tcBorders>
            <w:shd w:val="clear" w:color="auto" w:fill="auto"/>
            <w:noWrap/>
            <w:vAlign w:val="center"/>
            <w:hideMark/>
          </w:tcPr>
          <w:p w14:paraId="12AA386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100.0%</w:t>
            </w:r>
          </w:p>
        </w:tc>
      </w:tr>
    </w:tbl>
    <w:p w14:paraId="5414DAA6" w14:textId="576E80EB" w:rsidR="00DB5FC4" w:rsidRDefault="00DB5FC4" w:rsidP="000079B9">
      <w:pPr>
        <w:spacing w:line="240" w:lineRule="auto"/>
        <w:rPr>
          <w:rFonts w:ascii="Times New Roman" w:hAnsi="Times New Roman" w:cs="Times New Roman"/>
        </w:rPr>
      </w:pPr>
    </w:p>
    <w:p w14:paraId="45549DA6" w14:textId="5240FEF7" w:rsidR="00B03152" w:rsidRPr="001E7F84" w:rsidRDefault="00B03152" w:rsidP="000079B9">
      <w:pPr>
        <w:spacing w:line="240" w:lineRule="auto"/>
        <w:rPr>
          <w:rFonts w:ascii="Times New Roman" w:hAnsi="Times New Roman" w:cs="Times New Roman"/>
        </w:rPr>
      </w:pPr>
      <w:r>
        <w:rPr>
          <w:noProof/>
        </w:rPr>
        <w:lastRenderedPageBreak/>
        <w:drawing>
          <wp:inline distT="0" distB="0" distL="0" distR="0" wp14:anchorId="2282200D" wp14:editId="5CA14C4A">
            <wp:extent cx="5943600" cy="372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3005"/>
                    </a:xfrm>
                    <a:prstGeom prst="rect">
                      <a:avLst/>
                    </a:prstGeom>
                  </pic:spPr>
                </pic:pic>
              </a:graphicData>
            </a:graphic>
          </wp:inline>
        </w:drawing>
      </w:r>
    </w:p>
    <w:sectPr w:rsidR="00B03152" w:rsidRPr="001E7F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tos, Alexis R" w:date="2020-07-07T15:36:00Z" w:initials="SAR">
    <w:p w14:paraId="48615EE9" w14:textId="77777777" w:rsidR="001F2E31" w:rsidRPr="001F2E31" w:rsidRDefault="001F2E31" w:rsidP="001F2E31">
      <w:pPr>
        <w:pStyle w:val="Heading1"/>
      </w:pPr>
      <w:r>
        <w:rPr>
          <w:rStyle w:val="CommentReference"/>
        </w:rPr>
        <w:annotationRef/>
      </w:r>
      <w:r w:rsidRPr="001F2E31">
        <w:t>Variation in COVID-19 Hospitalizations and Deaths Across New York City Boroughs</w:t>
      </w:r>
    </w:p>
    <w:p w14:paraId="02A8915C" w14:textId="64CCE27F" w:rsidR="001F2E31" w:rsidRDefault="001F2E31">
      <w:pPr>
        <w:pStyle w:val="CommentText"/>
      </w:pPr>
      <w:r>
        <w:t>JAMA</w:t>
      </w:r>
    </w:p>
  </w:comment>
  <w:comment w:id="1" w:author="Santos, Alexis R" w:date="2020-07-07T13:39:00Z" w:initials="SAR">
    <w:p w14:paraId="3D753D7E" w14:textId="0204C08A" w:rsidR="000A75CF" w:rsidRDefault="000A75CF">
      <w:pPr>
        <w:pStyle w:val="CommentText"/>
      </w:pPr>
      <w:r>
        <w:rPr>
          <w:rStyle w:val="CommentReference"/>
        </w:rPr>
        <w:annotationRef/>
      </w:r>
      <w:r>
        <w:t>Affected?</w:t>
      </w:r>
    </w:p>
  </w:comment>
  <w:comment w:id="2" w:author="Santos, Alexis R" w:date="2020-07-07T13:40:00Z" w:initials="SAR">
    <w:p w14:paraId="602C51E7" w14:textId="19511ABB" w:rsidR="00FD19CF" w:rsidRDefault="00FD19CF">
      <w:pPr>
        <w:pStyle w:val="CommentText"/>
      </w:pPr>
      <w:r>
        <w:rPr>
          <w:rStyle w:val="CommentReference"/>
        </w:rPr>
        <w:annotationRef/>
      </w:r>
      <w:r>
        <w:t>Do we need this? – 3 words</w:t>
      </w:r>
    </w:p>
  </w:comment>
  <w:comment w:id="3" w:author="Santos, Alexis R" w:date="2020-07-07T13:49:00Z" w:initials="SAR">
    <w:p w14:paraId="2F4756B1" w14:textId="610EFE15" w:rsidR="00245CC1" w:rsidRDefault="00245CC1">
      <w:pPr>
        <w:pStyle w:val="CommentText"/>
      </w:pPr>
      <w:r>
        <w:rPr>
          <w:rStyle w:val="CommentReference"/>
        </w:rPr>
        <w:annotationRef/>
      </w:r>
      <w:r>
        <w:t>Is prediction the right word?</w:t>
      </w:r>
      <w:r w:rsidR="00F91BD2">
        <w:t xml:space="preserve"> Projections? Forecasts? </w:t>
      </w:r>
    </w:p>
  </w:comment>
  <w:comment w:id="4" w:author="Santos, Alexis R" w:date="2020-07-07T13:50:00Z" w:initials="SAR">
    <w:p w14:paraId="58F76798" w14:textId="1D0AD117" w:rsidR="00B5290D" w:rsidRDefault="00B5290D">
      <w:pPr>
        <w:pStyle w:val="CommentText"/>
      </w:pPr>
      <w:r>
        <w:rPr>
          <w:rStyle w:val="CommentReference"/>
        </w:rPr>
        <w:annotationRef/>
      </w:r>
      <w:r>
        <w:t>It is not only limited to COVID-19</w:t>
      </w:r>
    </w:p>
  </w:comment>
  <w:comment w:id="5" w:author="Santos, Alexis R" w:date="2020-07-07T14:36:00Z" w:initials="SAR">
    <w:p w14:paraId="0F6AC27B" w14:textId="54479616" w:rsidR="000235F9" w:rsidRDefault="000235F9">
      <w:pPr>
        <w:pStyle w:val="CommentText"/>
      </w:pPr>
      <w:r>
        <w:rPr>
          <w:rStyle w:val="CommentReference"/>
        </w:rPr>
        <w:annotationRef/>
      </w:r>
      <w:r>
        <w:t xml:space="preserve">Suggest we move into the discussion of additional breakdowns by highlighting why this is important. </w:t>
      </w:r>
    </w:p>
  </w:comment>
  <w:comment w:id="6" w:author="Santos, Alexis R" w:date="2020-07-07T15:39:00Z" w:initials="SAR">
    <w:p w14:paraId="1CF4D720" w14:textId="0725094C" w:rsidR="008C5A26" w:rsidRDefault="008C5A26">
      <w:pPr>
        <w:pStyle w:val="CommentText"/>
      </w:pPr>
      <w:r>
        <w:rPr>
          <w:rStyle w:val="CommentReference"/>
        </w:rPr>
        <w:annotationRef/>
      </w:r>
      <w:r>
        <w:t>The publication of the new DAS metrics…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A8915C" w15:done="0"/>
  <w15:commentEx w15:paraId="3D753D7E" w15:done="0"/>
  <w15:commentEx w15:paraId="602C51E7" w15:done="0"/>
  <w15:commentEx w15:paraId="2F4756B1" w15:done="0"/>
  <w15:commentEx w15:paraId="58F76798" w15:done="0"/>
  <w15:commentEx w15:paraId="0F6AC27B" w15:done="0"/>
  <w15:commentEx w15:paraId="1CF4D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14F2" w16cex:dateUtc="2020-07-07T19:36:00Z"/>
  <w16cex:commentExtensible w16cex:durableId="22AEF9AE" w16cex:dateUtc="2020-07-07T17:39:00Z"/>
  <w16cex:commentExtensible w16cex:durableId="22AEF9E0" w16cex:dateUtc="2020-07-07T17:40:00Z"/>
  <w16cex:commentExtensible w16cex:durableId="22AEFBF1" w16cex:dateUtc="2020-07-07T17:49:00Z"/>
  <w16cex:commentExtensible w16cex:durableId="22AEFC1E" w16cex:dateUtc="2020-07-07T17:50:00Z"/>
  <w16cex:commentExtensible w16cex:durableId="22AF06E3" w16cex:dateUtc="2020-07-07T18:36:00Z"/>
  <w16cex:commentExtensible w16cex:durableId="22AF15AE" w16cex:dateUtc="2020-07-07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A8915C" w16cid:durableId="22AF14F2"/>
  <w16cid:commentId w16cid:paraId="3D753D7E" w16cid:durableId="22AEF9AE"/>
  <w16cid:commentId w16cid:paraId="602C51E7" w16cid:durableId="22AEF9E0"/>
  <w16cid:commentId w16cid:paraId="2F4756B1" w16cid:durableId="22AEFBF1"/>
  <w16cid:commentId w16cid:paraId="58F76798" w16cid:durableId="22AEFC1E"/>
  <w16cid:commentId w16cid:paraId="0F6AC27B" w16cid:durableId="22AF06E3"/>
  <w16cid:commentId w16cid:paraId="1CF4D720" w16cid:durableId="22AF15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tos, Alexis R">
    <w15:presenceInfo w15:providerId="AD" w15:userId="S::ars39@psu.edu::9f073c19-b344-414a-a6a3-5afdb16a2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73D5"/>
    <w:rsid w:val="000079B9"/>
    <w:rsid w:val="000235F9"/>
    <w:rsid w:val="0002389C"/>
    <w:rsid w:val="000314BD"/>
    <w:rsid w:val="00041EE7"/>
    <w:rsid w:val="0004680A"/>
    <w:rsid w:val="000515A6"/>
    <w:rsid w:val="000631F8"/>
    <w:rsid w:val="000753F2"/>
    <w:rsid w:val="00085DC2"/>
    <w:rsid w:val="00091E29"/>
    <w:rsid w:val="000A5B07"/>
    <w:rsid w:val="000A75CF"/>
    <w:rsid w:val="000B0FA2"/>
    <w:rsid w:val="000B34C2"/>
    <w:rsid w:val="000C25FB"/>
    <w:rsid w:val="000C302F"/>
    <w:rsid w:val="000C7659"/>
    <w:rsid w:val="000D203A"/>
    <w:rsid w:val="000E02D8"/>
    <w:rsid w:val="00106535"/>
    <w:rsid w:val="00114E86"/>
    <w:rsid w:val="00126DAF"/>
    <w:rsid w:val="001418C7"/>
    <w:rsid w:val="001462F5"/>
    <w:rsid w:val="001634A7"/>
    <w:rsid w:val="00165676"/>
    <w:rsid w:val="00192397"/>
    <w:rsid w:val="00195EED"/>
    <w:rsid w:val="001B270E"/>
    <w:rsid w:val="001B37FF"/>
    <w:rsid w:val="001B7B9A"/>
    <w:rsid w:val="001C35E3"/>
    <w:rsid w:val="001D140A"/>
    <w:rsid w:val="001E7F84"/>
    <w:rsid w:val="001F2AE4"/>
    <w:rsid w:val="001F2E31"/>
    <w:rsid w:val="00205AD1"/>
    <w:rsid w:val="002074F9"/>
    <w:rsid w:val="002115CF"/>
    <w:rsid w:val="00212E79"/>
    <w:rsid w:val="00220AD2"/>
    <w:rsid w:val="00237096"/>
    <w:rsid w:val="002432F5"/>
    <w:rsid w:val="00245CC1"/>
    <w:rsid w:val="00253002"/>
    <w:rsid w:val="00270E04"/>
    <w:rsid w:val="002923FC"/>
    <w:rsid w:val="002A19A0"/>
    <w:rsid w:val="002A2379"/>
    <w:rsid w:val="002A2796"/>
    <w:rsid w:val="002B36F9"/>
    <w:rsid w:val="002B4A6E"/>
    <w:rsid w:val="002B5253"/>
    <w:rsid w:val="002B6D1F"/>
    <w:rsid w:val="002C03AD"/>
    <w:rsid w:val="002C2A44"/>
    <w:rsid w:val="002D5123"/>
    <w:rsid w:val="002E5B62"/>
    <w:rsid w:val="002E7291"/>
    <w:rsid w:val="002F325C"/>
    <w:rsid w:val="002F6146"/>
    <w:rsid w:val="00307DC3"/>
    <w:rsid w:val="003109B6"/>
    <w:rsid w:val="00314935"/>
    <w:rsid w:val="00334F2B"/>
    <w:rsid w:val="00347B8D"/>
    <w:rsid w:val="003542AB"/>
    <w:rsid w:val="0036645E"/>
    <w:rsid w:val="00377F18"/>
    <w:rsid w:val="00396E42"/>
    <w:rsid w:val="003B18B2"/>
    <w:rsid w:val="003B310F"/>
    <w:rsid w:val="003D2BF4"/>
    <w:rsid w:val="003D463D"/>
    <w:rsid w:val="003E05CE"/>
    <w:rsid w:val="00407480"/>
    <w:rsid w:val="00407978"/>
    <w:rsid w:val="0041753D"/>
    <w:rsid w:val="00426763"/>
    <w:rsid w:val="004303DA"/>
    <w:rsid w:val="004305D1"/>
    <w:rsid w:val="004320E3"/>
    <w:rsid w:val="00433C94"/>
    <w:rsid w:val="00450D3F"/>
    <w:rsid w:val="0045386A"/>
    <w:rsid w:val="00460E4A"/>
    <w:rsid w:val="004717AB"/>
    <w:rsid w:val="004718D8"/>
    <w:rsid w:val="00476979"/>
    <w:rsid w:val="004868D2"/>
    <w:rsid w:val="004910F4"/>
    <w:rsid w:val="00494B96"/>
    <w:rsid w:val="004A431E"/>
    <w:rsid w:val="004A53FC"/>
    <w:rsid w:val="004A5918"/>
    <w:rsid w:val="004B55E3"/>
    <w:rsid w:val="004C1131"/>
    <w:rsid w:val="004C39C7"/>
    <w:rsid w:val="004C3B12"/>
    <w:rsid w:val="004D0ABB"/>
    <w:rsid w:val="004E212F"/>
    <w:rsid w:val="004E2D6B"/>
    <w:rsid w:val="004E4319"/>
    <w:rsid w:val="0051455C"/>
    <w:rsid w:val="00514B4D"/>
    <w:rsid w:val="0051710A"/>
    <w:rsid w:val="00517B1B"/>
    <w:rsid w:val="00532F2A"/>
    <w:rsid w:val="005454FD"/>
    <w:rsid w:val="00546880"/>
    <w:rsid w:val="005564AA"/>
    <w:rsid w:val="005602B1"/>
    <w:rsid w:val="00566924"/>
    <w:rsid w:val="005822E7"/>
    <w:rsid w:val="00584239"/>
    <w:rsid w:val="00590AA8"/>
    <w:rsid w:val="00591005"/>
    <w:rsid w:val="005913B6"/>
    <w:rsid w:val="0059214B"/>
    <w:rsid w:val="0059267A"/>
    <w:rsid w:val="005A2901"/>
    <w:rsid w:val="005C3D51"/>
    <w:rsid w:val="005D1A20"/>
    <w:rsid w:val="005D6281"/>
    <w:rsid w:val="005E3467"/>
    <w:rsid w:val="005F4A30"/>
    <w:rsid w:val="005F6138"/>
    <w:rsid w:val="00610A15"/>
    <w:rsid w:val="00610E46"/>
    <w:rsid w:val="0063377A"/>
    <w:rsid w:val="00636197"/>
    <w:rsid w:val="00645072"/>
    <w:rsid w:val="006517FE"/>
    <w:rsid w:val="006558E4"/>
    <w:rsid w:val="00657E33"/>
    <w:rsid w:val="0066439B"/>
    <w:rsid w:val="00670657"/>
    <w:rsid w:val="00670ACC"/>
    <w:rsid w:val="00672583"/>
    <w:rsid w:val="006726B1"/>
    <w:rsid w:val="00672F1C"/>
    <w:rsid w:val="00677454"/>
    <w:rsid w:val="006A36C5"/>
    <w:rsid w:val="006A4666"/>
    <w:rsid w:val="006A46BE"/>
    <w:rsid w:val="006A601B"/>
    <w:rsid w:val="006B685C"/>
    <w:rsid w:val="006C0887"/>
    <w:rsid w:val="006C40D2"/>
    <w:rsid w:val="006D12C7"/>
    <w:rsid w:val="006F4CB1"/>
    <w:rsid w:val="0070243A"/>
    <w:rsid w:val="00706EE0"/>
    <w:rsid w:val="007108CF"/>
    <w:rsid w:val="00711155"/>
    <w:rsid w:val="00715609"/>
    <w:rsid w:val="007333A2"/>
    <w:rsid w:val="00733CFF"/>
    <w:rsid w:val="00733D89"/>
    <w:rsid w:val="00737757"/>
    <w:rsid w:val="00744993"/>
    <w:rsid w:val="00752D7E"/>
    <w:rsid w:val="00753510"/>
    <w:rsid w:val="007536DD"/>
    <w:rsid w:val="007639DA"/>
    <w:rsid w:val="007700A9"/>
    <w:rsid w:val="007711B9"/>
    <w:rsid w:val="007741DB"/>
    <w:rsid w:val="0077545D"/>
    <w:rsid w:val="00783A55"/>
    <w:rsid w:val="00785D77"/>
    <w:rsid w:val="0079703B"/>
    <w:rsid w:val="007A27DC"/>
    <w:rsid w:val="007A3D96"/>
    <w:rsid w:val="007B1D7C"/>
    <w:rsid w:val="007B71BD"/>
    <w:rsid w:val="007C2877"/>
    <w:rsid w:val="007E1F07"/>
    <w:rsid w:val="007F4271"/>
    <w:rsid w:val="007F4312"/>
    <w:rsid w:val="007F7342"/>
    <w:rsid w:val="007F784E"/>
    <w:rsid w:val="00804490"/>
    <w:rsid w:val="00806A55"/>
    <w:rsid w:val="00807336"/>
    <w:rsid w:val="00807F63"/>
    <w:rsid w:val="008138D6"/>
    <w:rsid w:val="00813F16"/>
    <w:rsid w:val="00814750"/>
    <w:rsid w:val="008222BB"/>
    <w:rsid w:val="00824867"/>
    <w:rsid w:val="00827827"/>
    <w:rsid w:val="00835DD7"/>
    <w:rsid w:val="00835E3A"/>
    <w:rsid w:val="00837249"/>
    <w:rsid w:val="00844010"/>
    <w:rsid w:val="00846786"/>
    <w:rsid w:val="00855D75"/>
    <w:rsid w:val="00856FA4"/>
    <w:rsid w:val="00863988"/>
    <w:rsid w:val="0087149E"/>
    <w:rsid w:val="008717E2"/>
    <w:rsid w:val="008778E9"/>
    <w:rsid w:val="008814A4"/>
    <w:rsid w:val="00893483"/>
    <w:rsid w:val="0089602B"/>
    <w:rsid w:val="00897D6B"/>
    <w:rsid w:val="008A30DB"/>
    <w:rsid w:val="008A41D8"/>
    <w:rsid w:val="008B23C3"/>
    <w:rsid w:val="008C5A26"/>
    <w:rsid w:val="008C6277"/>
    <w:rsid w:val="008E6DF0"/>
    <w:rsid w:val="008F3DD1"/>
    <w:rsid w:val="00911339"/>
    <w:rsid w:val="009246D0"/>
    <w:rsid w:val="009254D9"/>
    <w:rsid w:val="00937804"/>
    <w:rsid w:val="00942725"/>
    <w:rsid w:val="00943C3B"/>
    <w:rsid w:val="0095471D"/>
    <w:rsid w:val="009611D8"/>
    <w:rsid w:val="00965787"/>
    <w:rsid w:val="00970E69"/>
    <w:rsid w:val="00972107"/>
    <w:rsid w:val="00980BDB"/>
    <w:rsid w:val="00993D0F"/>
    <w:rsid w:val="009946F5"/>
    <w:rsid w:val="009A196B"/>
    <w:rsid w:val="009B36E4"/>
    <w:rsid w:val="009C35D9"/>
    <w:rsid w:val="009C590D"/>
    <w:rsid w:val="009D16A2"/>
    <w:rsid w:val="009D777C"/>
    <w:rsid w:val="009F400E"/>
    <w:rsid w:val="00A01438"/>
    <w:rsid w:val="00A114DF"/>
    <w:rsid w:val="00A152F4"/>
    <w:rsid w:val="00A160DB"/>
    <w:rsid w:val="00A202FD"/>
    <w:rsid w:val="00A20BA2"/>
    <w:rsid w:val="00A21C35"/>
    <w:rsid w:val="00A221DF"/>
    <w:rsid w:val="00A31F8A"/>
    <w:rsid w:val="00A412D0"/>
    <w:rsid w:val="00A6723D"/>
    <w:rsid w:val="00A705B8"/>
    <w:rsid w:val="00A71D7F"/>
    <w:rsid w:val="00A81B74"/>
    <w:rsid w:val="00A920B4"/>
    <w:rsid w:val="00AA33B4"/>
    <w:rsid w:val="00AA39C5"/>
    <w:rsid w:val="00AA526E"/>
    <w:rsid w:val="00AD49AA"/>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702E"/>
    <w:rsid w:val="00B658B8"/>
    <w:rsid w:val="00B6743C"/>
    <w:rsid w:val="00B75D71"/>
    <w:rsid w:val="00B80108"/>
    <w:rsid w:val="00B82C99"/>
    <w:rsid w:val="00B85ABB"/>
    <w:rsid w:val="00B9580F"/>
    <w:rsid w:val="00B95F43"/>
    <w:rsid w:val="00BA5101"/>
    <w:rsid w:val="00BB234B"/>
    <w:rsid w:val="00BC3E1B"/>
    <w:rsid w:val="00BC6274"/>
    <w:rsid w:val="00BD1D07"/>
    <w:rsid w:val="00BD35DC"/>
    <w:rsid w:val="00BD3883"/>
    <w:rsid w:val="00BD66C9"/>
    <w:rsid w:val="00BF3BD8"/>
    <w:rsid w:val="00C00935"/>
    <w:rsid w:val="00C20AF5"/>
    <w:rsid w:val="00C26526"/>
    <w:rsid w:val="00C26A41"/>
    <w:rsid w:val="00C26CB8"/>
    <w:rsid w:val="00C32AD3"/>
    <w:rsid w:val="00C35CCC"/>
    <w:rsid w:val="00C476AE"/>
    <w:rsid w:val="00C50713"/>
    <w:rsid w:val="00C574E3"/>
    <w:rsid w:val="00C60EF6"/>
    <w:rsid w:val="00C71E29"/>
    <w:rsid w:val="00C77013"/>
    <w:rsid w:val="00C77025"/>
    <w:rsid w:val="00C8326C"/>
    <w:rsid w:val="00CA33AB"/>
    <w:rsid w:val="00CB0DC0"/>
    <w:rsid w:val="00CB1905"/>
    <w:rsid w:val="00CB2310"/>
    <w:rsid w:val="00CC08AC"/>
    <w:rsid w:val="00CD37A1"/>
    <w:rsid w:val="00CE5365"/>
    <w:rsid w:val="00D021CC"/>
    <w:rsid w:val="00D0756F"/>
    <w:rsid w:val="00D14E47"/>
    <w:rsid w:val="00D152A1"/>
    <w:rsid w:val="00D40685"/>
    <w:rsid w:val="00D43091"/>
    <w:rsid w:val="00D50898"/>
    <w:rsid w:val="00D55901"/>
    <w:rsid w:val="00D5695F"/>
    <w:rsid w:val="00D62969"/>
    <w:rsid w:val="00D62A5D"/>
    <w:rsid w:val="00D74629"/>
    <w:rsid w:val="00D81449"/>
    <w:rsid w:val="00D84756"/>
    <w:rsid w:val="00D8668D"/>
    <w:rsid w:val="00D87D3F"/>
    <w:rsid w:val="00DB3895"/>
    <w:rsid w:val="00DB5B9C"/>
    <w:rsid w:val="00DB5FC4"/>
    <w:rsid w:val="00DC4C89"/>
    <w:rsid w:val="00DD4F35"/>
    <w:rsid w:val="00DD766E"/>
    <w:rsid w:val="00DD7A5E"/>
    <w:rsid w:val="00DD7B67"/>
    <w:rsid w:val="00DE1A48"/>
    <w:rsid w:val="00DE3210"/>
    <w:rsid w:val="00DE6002"/>
    <w:rsid w:val="00DE6D13"/>
    <w:rsid w:val="00DF02DB"/>
    <w:rsid w:val="00DF287F"/>
    <w:rsid w:val="00DF2A55"/>
    <w:rsid w:val="00E03F7F"/>
    <w:rsid w:val="00E27C29"/>
    <w:rsid w:val="00E34581"/>
    <w:rsid w:val="00E36C6C"/>
    <w:rsid w:val="00E37E9C"/>
    <w:rsid w:val="00E40C6C"/>
    <w:rsid w:val="00E521D5"/>
    <w:rsid w:val="00E6372B"/>
    <w:rsid w:val="00E70677"/>
    <w:rsid w:val="00E71E0E"/>
    <w:rsid w:val="00E7292D"/>
    <w:rsid w:val="00E74778"/>
    <w:rsid w:val="00E76034"/>
    <w:rsid w:val="00E91F03"/>
    <w:rsid w:val="00EC30DD"/>
    <w:rsid w:val="00EE4221"/>
    <w:rsid w:val="00EE7773"/>
    <w:rsid w:val="00F01933"/>
    <w:rsid w:val="00F03BFD"/>
    <w:rsid w:val="00F06DB8"/>
    <w:rsid w:val="00F1332E"/>
    <w:rsid w:val="00F1554B"/>
    <w:rsid w:val="00F16D85"/>
    <w:rsid w:val="00F17405"/>
    <w:rsid w:val="00F21AE7"/>
    <w:rsid w:val="00F232F8"/>
    <w:rsid w:val="00F23A39"/>
    <w:rsid w:val="00F26880"/>
    <w:rsid w:val="00F30E0A"/>
    <w:rsid w:val="00F53234"/>
    <w:rsid w:val="00F57E47"/>
    <w:rsid w:val="00F61CD1"/>
    <w:rsid w:val="00F7299B"/>
    <w:rsid w:val="00F76420"/>
    <w:rsid w:val="00F7778B"/>
    <w:rsid w:val="00F8230B"/>
    <w:rsid w:val="00F91BD2"/>
    <w:rsid w:val="00F97391"/>
    <w:rsid w:val="00FA3334"/>
    <w:rsid w:val="00FA53E4"/>
    <w:rsid w:val="00FA5ACB"/>
    <w:rsid w:val="00FB04D8"/>
    <w:rsid w:val="00FB6BBD"/>
    <w:rsid w:val="00FC04AE"/>
    <w:rsid w:val="00FC0A50"/>
    <w:rsid w:val="00FC2D9F"/>
    <w:rsid w:val="00FD19CF"/>
    <w:rsid w:val="00FD4F5E"/>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264"/>
      </w:tabs>
      <w:spacing w:after="0" w:line="480" w:lineRule="auto"/>
      <w:ind w:left="264" w:hanging="26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uer@uga.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5744</Words>
  <Characters>32744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38412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75</cp:revision>
  <dcterms:created xsi:type="dcterms:W3CDTF">2020-07-07T17:58:00Z</dcterms:created>
  <dcterms:modified xsi:type="dcterms:W3CDTF">2020-07-07T23:42:00Z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id="IvsHIEEG"/&gt;&lt;style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value="true"/&gt;&lt;/prefs&gt;&lt;/data&gt;</vt:lpwstr>
  </property>
</Properties>
</file>