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5A209" w14:textId="34E8A976" w:rsidR="0034703D" w:rsidRPr="0034703D" w:rsidRDefault="0034703D" w:rsidP="0034703D">
      <w:pPr>
        <w:spacing w:line="240" w:lineRule="auto"/>
        <w:jc w:val="center"/>
        <w:rPr>
          <w:b/>
          <w:bCs/>
        </w:rPr>
      </w:pPr>
      <w:r w:rsidRPr="0034703D">
        <w:rPr>
          <w:b/>
          <w:bCs/>
        </w:rPr>
        <w:t xml:space="preserve">Differential privacy in the 2020 Census </w:t>
      </w:r>
      <w:r w:rsidR="0044149C">
        <w:rPr>
          <w:b/>
          <w:bCs/>
        </w:rPr>
        <w:t xml:space="preserve">and </w:t>
      </w:r>
      <w:r w:rsidR="00244525">
        <w:rPr>
          <w:b/>
          <w:bCs/>
        </w:rPr>
        <w:t>the distortion of</w:t>
      </w:r>
      <w:r w:rsidRPr="0034703D">
        <w:rPr>
          <w:b/>
          <w:bCs/>
        </w:rPr>
        <w:t xml:space="preserve"> COVID-19 </w:t>
      </w:r>
      <w:r w:rsidR="00244525">
        <w:rPr>
          <w:b/>
          <w:bCs/>
        </w:rPr>
        <w:t>mortality rates</w:t>
      </w:r>
    </w:p>
    <w:p w14:paraId="7ADD427A" w14:textId="77777777" w:rsidR="0034703D" w:rsidRDefault="0034703D" w:rsidP="0034703D">
      <w:pPr>
        <w:spacing w:line="240" w:lineRule="auto"/>
      </w:pPr>
    </w:p>
    <w:p w14:paraId="650FB7BC" w14:textId="21C87BA1" w:rsidR="0034703D" w:rsidRDefault="0034703D" w:rsidP="0034703D">
      <w:pPr>
        <w:spacing w:line="240" w:lineRule="auto"/>
        <w:rPr>
          <w:vertAlign w:val="superscript"/>
        </w:rPr>
      </w:pPr>
      <w:r w:rsidRPr="00B945A4">
        <w:t>Mathew E. Hauer</w:t>
      </w:r>
      <w:r w:rsidRPr="00B945A4">
        <w:rPr>
          <w:vertAlign w:val="superscript"/>
        </w:rPr>
        <w:t>1</w:t>
      </w:r>
      <w:r>
        <w:rPr>
          <w:vertAlign w:val="superscript"/>
        </w:rPr>
        <w:t>,2*</w:t>
      </w:r>
      <w:r>
        <w:t xml:space="preserve"> &amp; Alexis R. Santos</w:t>
      </w:r>
      <w:r>
        <w:rPr>
          <w:vertAlign w:val="superscript"/>
        </w:rPr>
        <w:t>3,4</w:t>
      </w:r>
    </w:p>
    <w:p w14:paraId="270898AA" w14:textId="77777777" w:rsidR="0034703D" w:rsidRDefault="0034703D" w:rsidP="0034703D">
      <w:pPr>
        <w:spacing w:line="240" w:lineRule="auto"/>
      </w:pPr>
    </w:p>
    <w:p w14:paraId="0FD584C8" w14:textId="77777777" w:rsidR="0034703D" w:rsidRPr="00B945A4" w:rsidRDefault="0034703D" w:rsidP="0034703D">
      <w:pPr>
        <w:pStyle w:val="Paragraph"/>
        <w:spacing w:before="0"/>
        <w:ind w:firstLine="0"/>
        <w:rPr>
          <w:b/>
        </w:rPr>
      </w:pPr>
      <w:r w:rsidRPr="00B945A4">
        <w:rPr>
          <w:b/>
        </w:rPr>
        <w:t>Affiliations:</w:t>
      </w:r>
    </w:p>
    <w:p w14:paraId="0D53AA07" w14:textId="77777777" w:rsidR="0034703D" w:rsidRPr="00B945A4" w:rsidRDefault="0034703D" w:rsidP="0034703D">
      <w:pPr>
        <w:spacing w:line="240" w:lineRule="auto"/>
      </w:pPr>
    </w:p>
    <w:p w14:paraId="5DAE78F3" w14:textId="40F6030B" w:rsidR="0034703D" w:rsidRDefault="0034703D" w:rsidP="0034703D">
      <w:pPr>
        <w:spacing w:line="240" w:lineRule="auto"/>
      </w:pPr>
      <w:r w:rsidRPr="00B945A4">
        <w:rPr>
          <w:vertAlign w:val="superscript"/>
        </w:rPr>
        <w:t>1</w:t>
      </w:r>
      <w:r w:rsidRPr="00B945A4">
        <w:t>Department of Sociology</w:t>
      </w:r>
      <w:r>
        <w:t xml:space="preserve">, </w:t>
      </w:r>
      <w:r w:rsidRPr="00B945A4">
        <w:t>Florida State University</w:t>
      </w:r>
      <w:r>
        <w:t xml:space="preserve">, </w:t>
      </w:r>
      <w:r w:rsidRPr="00B945A4">
        <w:t>Tallahassee, Florida</w:t>
      </w:r>
      <w:r>
        <w:t>, USA.</w:t>
      </w:r>
    </w:p>
    <w:p w14:paraId="38DF9C4E" w14:textId="60B7FD8F" w:rsidR="0034703D" w:rsidRPr="00B945A4" w:rsidRDefault="0034703D" w:rsidP="0034703D">
      <w:pPr>
        <w:spacing w:line="240" w:lineRule="auto"/>
        <w:rPr>
          <w:rStyle w:val="Hyperlink"/>
        </w:rPr>
      </w:pPr>
      <w:r>
        <w:rPr>
          <w:vertAlign w:val="superscript"/>
        </w:rPr>
        <w:t>2</w:t>
      </w:r>
      <w:r>
        <w:t xml:space="preserve">Center for Demography and Population Health, </w:t>
      </w:r>
      <w:r w:rsidRPr="00B945A4">
        <w:t>Florida State University</w:t>
      </w:r>
      <w:r>
        <w:t>.</w:t>
      </w:r>
    </w:p>
    <w:p w14:paraId="0962FB24" w14:textId="5F2DCBCE" w:rsidR="0034703D" w:rsidRDefault="0034703D" w:rsidP="0034703D">
      <w:pPr>
        <w:spacing w:line="240" w:lineRule="auto"/>
        <w:rPr>
          <w:rFonts w:eastAsia="Calibri"/>
        </w:rPr>
      </w:pPr>
      <w:r>
        <w:rPr>
          <w:vertAlign w:val="superscript"/>
        </w:rPr>
        <w:t>3</w:t>
      </w:r>
      <w:r>
        <w:rPr>
          <w:rFonts w:eastAsia="Calibri"/>
        </w:rPr>
        <w:t>Human Development and Family Studies, Pennsylvania State University, State College, PA, USA.</w:t>
      </w:r>
    </w:p>
    <w:p w14:paraId="7AF07580" w14:textId="4961F3EF" w:rsidR="0034703D" w:rsidRPr="00B945A4" w:rsidRDefault="0034703D" w:rsidP="0034703D">
      <w:pPr>
        <w:spacing w:line="240" w:lineRule="auto"/>
        <w:rPr>
          <w:rFonts w:eastAsia="Calibri"/>
        </w:rPr>
      </w:pPr>
      <w:r>
        <w:rPr>
          <w:vertAlign w:val="superscript"/>
        </w:rPr>
        <w:t>3</w:t>
      </w:r>
      <w:r>
        <w:rPr>
          <w:rFonts w:eastAsia="Calibri"/>
        </w:rPr>
        <w:t>Penn State Population Center, Pennsylvania State University.</w:t>
      </w:r>
    </w:p>
    <w:p w14:paraId="35494708" w14:textId="77777777" w:rsidR="0034703D" w:rsidRPr="00B945A4" w:rsidRDefault="0034703D" w:rsidP="0034703D">
      <w:pPr>
        <w:spacing w:line="240" w:lineRule="auto"/>
        <w:rPr>
          <w:rStyle w:val="Hyperlink"/>
        </w:rPr>
      </w:pPr>
      <w:r w:rsidRPr="00B945A4">
        <w:t>*</w:t>
      </w:r>
      <w:hyperlink r:id="rId7" w:history="1">
        <w:r w:rsidRPr="00B945A4">
          <w:rPr>
            <w:rStyle w:val="Hyperlink"/>
          </w:rPr>
          <w:t>mehauer@fsu.edu</w:t>
        </w:r>
      </w:hyperlink>
    </w:p>
    <w:p w14:paraId="5736C529" w14:textId="176CDE85" w:rsidR="0034703D" w:rsidRDefault="0034703D" w:rsidP="0034703D">
      <w:pPr>
        <w:pStyle w:val="Teaser"/>
        <w:spacing w:before="0"/>
      </w:pPr>
    </w:p>
    <w:p w14:paraId="46A157FA" w14:textId="4FEC717C" w:rsidR="00EF72E4" w:rsidRPr="00EF72E4" w:rsidRDefault="00EF72E4" w:rsidP="0034703D">
      <w:pPr>
        <w:pStyle w:val="Teaser"/>
        <w:spacing w:before="0"/>
        <w:rPr>
          <w:b/>
          <w:bCs/>
        </w:rPr>
      </w:pPr>
      <w:r w:rsidRPr="00EF72E4">
        <w:rPr>
          <w:b/>
          <w:bCs/>
        </w:rPr>
        <w:t>Abstract</w:t>
      </w:r>
    </w:p>
    <w:p w14:paraId="3CCA876D" w14:textId="1FBE4917" w:rsidR="00EF72E4" w:rsidRPr="00B945A4" w:rsidRDefault="00EF72E4" w:rsidP="0034703D">
      <w:pPr>
        <w:pStyle w:val="Teaser"/>
        <w:spacing w:before="0"/>
      </w:pPr>
      <w:r>
        <w:t xml:space="preserve">Scientists, policy makers, and journalists rely on accurate population and mortality data to address and </w:t>
      </w:r>
      <w:r w:rsidR="0044149C">
        <w:t>inform mitigation efforts</w:t>
      </w:r>
      <w:r>
        <w:t xml:space="preserve"> </w:t>
      </w:r>
      <w:r w:rsidR="0044149C">
        <w:t xml:space="preserve">regarding the </w:t>
      </w:r>
      <w:r>
        <w:t>coronavirus disease 2019 (COVID-19) pandemic</w:t>
      </w:r>
      <w:r w:rsidR="0044149C">
        <w:t>,</w:t>
      </w:r>
      <w:r w:rsidR="009824F1">
        <w:t xml:space="preserve"> with</w:t>
      </w:r>
      <w:r>
        <w:t xml:space="preserve"> </w:t>
      </w:r>
      <w:r w:rsidR="009824F1">
        <w:t xml:space="preserve">age-specific mortality rates of high importance due to the concentration of COVID-19 deaths at older ages. Population counts – the principal denominators for calculating age-specific mortality rates –will be subject to noise injection </w:t>
      </w:r>
      <w:r w:rsidR="00BD77A6">
        <w:t xml:space="preserve">in the United States </w:t>
      </w:r>
      <w:r w:rsidR="009824F1">
        <w:t>with the 2020 Census</w:t>
      </w:r>
      <w:r w:rsidR="00BD77A6">
        <w:t xml:space="preserve"> via differential privacy</w:t>
      </w:r>
      <w:r w:rsidR="009824F1">
        <w:t>. W</w:t>
      </w:r>
      <w:r>
        <w:t xml:space="preserve">e highlight how </w:t>
      </w:r>
      <w:r w:rsidR="001F4BA4">
        <w:t xml:space="preserve">the </w:t>
      </w:r>
      <w:r>
        <w:t xml:space="preserve">planned, noise-infused U.S. Census data will </w:t>
      </w:r>
      <w:r w:rsidR="001F4BA4">
        <w:t xml:space="preserve">significantly </w:t>
      </w:r>
      <w:r>
        <w:t>alter our understanding of the COVID-19 pandemic</w:t>
      </w:r>
      <w:r w:rsidR="00BD77A6">
        <w:t xml:space="preserve"> via noisy mortality rates</w:t>
      </w:r>
      <w:r>
        <w:t xml:space="preserve">. Using age-sex specific COVID-19 mortality curves from Italy and Wuhan, we show that differential privacy will introduce </w:t>
      </w:r>
      <w:r w:rsidR="009824F1">
        <w:t>significant</w:t>
      </w:r>
      <w:r w:rsidR="001F4BA4">
        <w:t xml:space="preserve"> errors in COVID-19 </w:t>
      </w:r>
      <w:r w:rsidR="00A45813">
        <w:t xml:space="preserve">expected </w:t>
      </w:r>
      <w:r w:rsidR="001F4BA4">
        <w:t>age-sex specific mortality rates</w:t>
      </w:r>
      <w:r w:rsidR="009824F1">
        <w:t xml:space="preserve"> – sometimes causing age-specific mortality rates to exceed 100% --</w:t>
      </w:r>
      <w:r w:rsidR="001F4BA4">
        <w:t xml:space="preserve"> hindering our </w:t>
      </w:r>
      <w:r w:rsidR="009824F1">
        <w:t xml:space="preserve">ability to </w:t>
      </w:r>
      <w:r w:rsidR="001F4BA4">
        <w:t>understand the pandemic.</w:t>
      </w:r>
      <w:r w:rsidR="009824F1">
        <w:t xml:space="preserve"> </w:t>
      </w:r>
      <w:r w:rsidR="0044149C">
        <w:t xml:space="preserve">These errors are particularly large for the </w:t>
      </w:r>
      <w:r w:rsidR="007F64B5">
        <w:t>nearly 43</w:t>
      </w:r>
      <w:r w:rsidR="0044149C">
        <w:t>% of county age-sex groupings containing fewer than 1000 persons. Overall, differential privacy will introduce significant challenges in our understanding of COVID-19 mortality amid this global pandemic.</w:t>
      </w:r>
    </w:p>
    <w:p w14:paraId="32D4A3F7" w14:textId="3C517279" w:rsidR="0053535B" w:rsidRDefault="0053535B" w:rsidP="0034703D">
      <w:pPr>
        <w:spacing w:line="240" w:lineRule="auto"/>
      </w:pPr>
    </w:p>
    <w:p w14:paraId="2B765FF5" w14:textId="77777777" w:rsidR="0034703D" w:rsidRPr="0035634E" w:rsidRDefault="0034703D" w:rsidP="0034703D">
      <w:pPr>
        <w:spacing w:line="240" w:lineRule="auto"/>
        <w:rPr>
          <w:b/>
        </w:rPr>
      </w:pPr>
      <w:r w:rsidRPr="0035634E">
        <w:rPr>
          <w:b/>
        </w:rPr>
        <w:t>Main</w:t>
      </w:r>
    </w:p>
    <w:p w14:paraId="7DA3853D" w14:textId="77777777" w:rsidR="00EF72E4" w:rsidRDefault="00EF72E4" w:rsidP="0034703D">
      <w:pPr>
        <w:spacing w:line="240" w:lineRule="auto"/>
      </w:pPr>
    </w:p>
    <w:p w14:paraId="77323396" w14:textId="39D21F6C" w:rsidR="00A45813" w:rsidRDefault="0034703D" w:rsidP="0034703D">
      <w:pPr>
        <w:spacing w:line="240" w:lineRule="auto"/>
      </w:pPr>
      <w:r>
        <w:t xml:space="preserve">As the COVID-19 grips the globe, scientists, policy makers, and journalists </w:t>
      </w:r>
      <w:r w:rsidR="00A45813">
        <w:t>calculate mortality rates to better understand, communicate, address, and inform mitigation efforts of the COVID-19 pandemic. Because of these mortality rate calculations, we know that the elderly are more susceptible to COVID-19 related mortality [CITES]</w:t>
      </w:r>
      <w:r w:rsidR="00FA3C68">
        <w:t xml:space="preserve"> and varying age structures play a role in how the pandemic will unfold</w:t>
      </w:r>
      <w:r w:rsidR="00A45813">
        <w:t xml:space="preserve">. Accurate mortality rate calculations and estimates are </w:t>
      </w:r>
      <w:r w:rsidR="00FA3C68">
        <w:t xml:space="preserve">thus </w:t>
      </w:r>
      <w:r w:rsidR="00A45813">
        <w:t xml:space="preserve">paramount to </w:t>
      </w:r>
      <w:r w:rsidR="00FA3C68">
        <w:t>managing this pandemic and illuminating how to manage future pandemics.</w:t>
      </w:r>
    </w:p>
    <w:p w14:paraId="6FC1A99E" w14:textId="4D0C5331" w:rsidR="00A45813" w:rsidRDefault="00A45813" w:rsidP="0034703D">
      <w:pPr>
        <w:spacing w:line="240" w:lineRule="auto"/>
      </w:pPr>
    </w:p>
    <w:p w14:paraId="28624F9B" w14:textId="0D0FE5E0" w:rsidR="00244525" w:rsidRDefault="00FA3C68" w:rsidP="0034703D">
      <w:pPr>
        <w:spacing w:line="240" w:lineRule="auto"/>
      </w:pPr>
      <w:r>
        <w:t xml:space="preserve">The calculation of mortality rates is relatively straightforward: </w:t>
      </w:r>
      <w:r w:rsidR="00244525">
        <w:t>one</w:t>
      </w:r>
      <w:r>
        <w:t xml:space="preserve"> simply divide</w:t>
      </w:r>
      <w:r w:rsidR="00244525">
        <w:t>s</w:t>
      </w:r>
      <w:r>
        <w:t xml:space="preserve"> the count of deaths by the count of population. Mortality rates rely on the accuracy of both the death count and the population count. The US Census Bureau will implement a new privacy protection algorithm, called Differential Privacy (DP) to infuse noise into decennial census products – the very products used to calculate COVID-19 incidence and mortality rates – in order to further protect the data of Census respondents. </w:t>
      </w:r>
      <w:r w:rsidR="00244525">
        <w:t xml:space="preserve">The extent to which </w:t>
      </w:r>
      <w:r>
        <w:t>DP will distort COVID-19 mortality rates is currently untested.</w:t>
      </w:r>
    </w:p>
    <w:p w14:paraId="35F2830A" w14:textId="77777777" w:rsidR="00244525" w:rsidRDefault="00244525" w:rsidP="0034703D">
      <w:pPr>
        <w:spacing w:line="240" w:lineRule="auto"/>
      </w:pPr>
    </w:p>
    <w:p w14:paraId="6CE05A49" w14:textId="2464F322" w:rsidR="00FA3C68" w:rsidRDefault="00244525" w:rsidP="0034703D">
      <w:pPr>
        <w:spacing w:line="240" w:lineRule="auto"/>
      </w:pPr>
      <w:r>
        <w:lastRenderedPageBreak/>
        <w:t>To estimate the extent to which DP will distort COVID-19 mortality rates</w:t>
      </w:r>
      <w:r w:rsidR="00FA3C68">
        <w:t>, we</w:t>
      </w:r>
      <w:r>
        <w:t xml:space="preserve"> combine the Census Bureau’s DP demonstration product [CITES] with empirical COVID-19 age and sex mortality curves from Italy [CITES]. This allows us to simulate how different mortality rate calculations using noise infused population counts could be from using true population counts.</w:t>
      </w:r>
    </w:p>
    <w:p w14:paraId="43D4533C" w14:textId="77777777" w:rsidR="00FA3C68" w:rsidRDefault="00FA3C68" w:rsidP="0034703D">
      <w:pPr>
        <w:spacing w:line="240" w:lineRule="auto"/>
      </w:pPr>
    </w:p>
    <w:p w14:paraId="64DBC871" w14:textId="73BC15A7" w:rsidR="00513110" w:rsidRDefault="00244525" w:rsidP="0034703D">
      <w:pPr>
        <w:spacing w:line="240" w:lineRule="auto"/>
      </w:pPr>
      <w:r w:rsidRPr="007F64B5">
        <w:rPr>
          <w:b/>
          <w:bCs/>
        </w:rPr>
        <w:t>Figure 1</w:t>
      </w:r>
      <w:r>
        <w:t xml:space="preserve"> </w:t>
      </w:r>
      <w:r w:rsidR="007F64B5">
        <w:t xml:space="preserve">shows the distortion of COVID-19 age-sex specific mortality rates for US counties. </w:t>
      </w:r>
    </w:p>
    <w:p w14:paraId="02B6432D" w14:textId="77777777" w:rsidR="007F64B5" w:rsidRDefault="007F64B5" w:rsidP="0034703D">
      <w:pPr>
        <w:spacing w:line="240" w:lineRule="auto"/>
      </w:pPr>
    </w:p>
    <w:p w14:paraId="24EF9C26" w14:textId="6206AF70" w:rsidR="00244525" w:rsidRDefault="00244525" w:rsidP="0034703D">
      <w:pPr>
        <w:spacing w:line="240" w:lineRule="auto"/>
      </w:pPr>
      <w:r>
        <w:rPr>
          <w:noProof/>
        </w:rPr>
        <w:drawing>
          <wp:inline distT="0" distB="0" distL="0" distR="0" wp14:anchorId="051751F4" wp14:editId="56AC1092">
            <wp:extent cx="5943600" cy="3782060"/>
            <wp:effectExtent l="0" t="0" r="0" b="8890"/>
            <wp:docPr id="1" name="Picture 1" descr="A picture containing text, map, table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4719" w14:textId="55055F59" w:rsidR="007F64B5" w:rsidRDefault="007F64B5" w:rsidP="0034703D">
      <w:pPr>
        <w:spacing w:line="240" w:lineRule="auto"/>
      </w:pPr>
    </w:p>
    <w:p w14:paraId="4A27CE4B" w14:textId="742201D6" w:rsidR="007F64B5" w:rsidRDefault="007F64B5" w:rsidP="0034703D">
      <w:pPr>
        <w:spacing w:line="240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50"/>
        <w:gridCol w:w="923"/>
        <w:gridCol w:w="1416"/>
        <w:gridCol w:w="956"/>
      </w:tblGrid>
      <w:tr w:rsidR="00B42931" w:rsidRPr="00B42931" w14:paraId="728169CB" w14:textId="77777777" w:rsidTr="00B4293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03C68" w14:textId="77777777" w:rsidR="00B42931" w:rsidRPr="00B42931" w:rsidRDefault="00B42931" w:rsidP="00B42931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  <w:r w:rsidRPr="00B42931">
              <w:rPr>
                <w:b/>
                <w:bCs/>
                <w:color w:val="000000"/>
              </w:rPr>
              <w:t>Pop. 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A2870" w14:textId="77777777" w:rsidR="00B42931" w:rsidRPr="00B42931" w:rsidRDefault="00B42931" w:rsidP="00B42931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  <w:r w:rsidRPr="00B42931">
              <w:rPr>
                <w:b/>
                <w:bCs/>
                <w:color w:val="000000"/>
              </w:rPr>
              <w:t>MAPE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E358B" w14:textId="77777777" w:rsidR="00B42931" w:rsidRPr="00B42931" w:rsidRDefault="00B42931" w:rsidP="00B42931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  <w:r w:rsidRPr="00B42931">
              <w:rPr>
                <w:b/>
                <w:bCs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8DBB5" w14:textId="77777777" w:rsidR="00B42931" w:rsidRPr="00B42931" w:rsidRDefault="00B42931" w:rsidP="00B42931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  <w:r w:rsidRPr="00B42931">
              <w:rPr>
                <w:b/>
                <w:bCs/>
                <w:color w:val="000000"/>
              </w:rPr>
              <w:t>% of n</w:t>
            </w:r>
          </w:p>
        </w:tc>
      </w:tr>
      <w:tr w:rsidR="00B42931" w:rsidRPr="00B42931" w14:paraId="3605EF61" w14:textId="77777777" w:rsidTr="00B42931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960B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1K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033B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40.9%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C31B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17,950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A007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42.9%</w:t>
            </w:r>
          </w:p>
        </w:tc>
      </w:tr>
      <w:tr w:rsidR="00B42931" w:rsidRPr="00B42931" w14:paraId="33999974" w14:textId="77777777" w:rsidTr="00B4293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36FB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2K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ED63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29.8%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BD43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26,372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AC6C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63.1%</w:t>
            </w:r>
          </w:p>
        </w:tc>
      </w:tr>
      <w:tr w:rsidR="00B42931" w:rsidRPr="00B42931" w14:paraId="12C73226" w14:textId="77777777" w:rsidTr="00B4293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D866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3K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920E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26.1%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E41F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30,635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6C95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73.3%</w:t>
            </w:r>
          </w:p>
        </w:tc>
      </w:tr>
      <w:tr w:rsidR="00B42931" w:rsidRPr="00B42931" w14:paraId="7EC27A4C" w14:textId="77777777" w:rsidTr="00B4293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A11C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4K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B00C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24.5%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A662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32,936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D843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78.8%</w:t>
            </w:r>
          </w:p>
        </w:tc>
      </w:tr>
      <w:tr w:rsidR="00B42931" w:rsidRPr="00B42931" w14:paraId="78D6240D" w14:textId="77777777" w:rsidTr="00B4293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AE66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5K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2B0A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23.6%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EA02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34,379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4497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82.2%</w:t>
            </w:r>
          </w:p>
        </w:tc>
      </w:tr>
      <w:tr w:rsidR="00B42931" w:rsidRPr="00B42931" w14:paraId="4C388AD2" w14:textId="77777777" w:rsidTr="00B4293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06B3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10K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E427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21.6%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B84A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37,711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95C6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90.2%</w:t>
            </w:r>
          </w:p>
        </w:tc>
      </w:tr>
      <w:tr w:rsidR="00B42931" w:rsidRPr="00B42931" w14:paraId="6A2D896E" w14:textId="77777777" w:rsidTr="00B4293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757A" w14:textId="548B9D0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25</w:t>
            </w:r>
            <w:r>
              <w:rPr>
                <w:color w:val="000000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A556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20.3%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89D0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40,171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EBE5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96.1%</w:t>
            </w:r>
          </w:p>
        </w:tc>
      </w:tr>
      <w:tr w:rsidR="00B42931" w:rsidRPr="00B42931" w14:paraId="1F66F10D" w14:textId="77777777" w:rsidTr="00B4293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279C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50K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8609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19.9%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AC37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41,139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5C25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98.4%</w:t>
            </w:r>
          </w:p>
        </w:tc>
      </w:tr>
      <w:tr w:rsidR="00B42931" w:rsidRPr="00B42931" w14:paraId="682C3C5C" w14:textId="77777777" w:rsidTr="00B4293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5212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100K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47EB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19.6%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D1E0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41,619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2723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99.5%</w:t>
            </w:r>
          </w:p>
        </w:tc>
      </w:tr>
      <w:tr w:rsidR="00B42931" w:rsidRPr="00B42931" w14:paraId="221DB073" w14:textId="77777777" w:rsidTr="00B42931">
        <w:trPr>
          <w:trHeight w:val="31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7CAD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500K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B7DD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19.5%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69E9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41,805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D435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100.0%</w:t>
            </w:r>
          </w:p>
        </w:tc>
      </w:tr>
      <w:tr w:rsidR="00B42931" w:rsidRPr="00B42931" w14:paraId="05FC495D" w14:textId="77777777" w:rsidTr="00B4293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6F248" w14:textId="77777777" w:rsidR="00B42931" w:rsidRPr="00B42931" w:rsidRDefault="00B42931" w:rsidP="00B42931">
            <w:pPr>
              <w:spacing w:line="240" w:lineRule="auto"/>
              <w:rPr>
                <w:color w:val="000000"/>
                <w:u w:val="single"/>
              </w:rPr>
            </w:pPr>
            <w:r w:rsidRPr="00B42931">
              <w:rPr>
                <w:color w:val="000000"/>
                <w:u w:val="single"/>
              </w:rPr>
              <w:t>&lt; 771K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9B16F" w14:textId="7F91A1BF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19.5</w:t>
            </w:r>
            <w:r w:rsidRPr="00B42931">
              <w:rPr>
                <w:color w:val="000000"/>
                <w:u w:val="single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8E423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  <w:u w:val="single"/>
              </w:rPr>
            </w:pPr>
            <w:r w:rsidRPr="00B42931">
              <w:rPr>
                <w:color w:val="000000"/>
                <w:u w:val="single"/>
              </w:rPr>
              <w:t xml:space="preserve">         41,812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4F373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  <w:u w:val="single"/>
              </w:rPr>
            </w:pPr>
            <w:r w:rsidRPr="00B42931">
              <w:rPr>
                <w:color w:val="000000"/>
                <w:u w:val="single"/>
              </w:rPr>
              <w:t>100.0%</w:t>
            </w:r>
          </w:p>
        </w:tc>
      </w:tr>
    </w:tbl>
    <w:p w14:paraId="57AD72D7" w14:textId="77777777" w:rsidR="007F64B5" w:rsidRDefault="007F64B5" w:rsidP="0034703D">
      <w:pPr>
        <w:spacing w:line="240" w:lineRule="auto"/>
      </w:pPr>
    </w:p>
    <w:sectPr w:rsidR="007F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3D"/>
    <w:rsid w:val="001F4BA4"/>
    <w:rsid w:val="00244525"/>
    <w:rsid w:val="0034703D"/>
    <w:rsid w:val="0044149C"/>
    <w:rsid w:val="0053535B"/>
    <w:rsid w:val="00656F99"/>
    <w:rsid w:val="006C784D"/>
    <w:rsid w:val="007F64B5"/>
    <w:rsid w:val="00857419"/>
    <w:rsid w:val="009824F1"/>
    <w:rsid w:val="00A45813"/>
    <w:rsid w:val="00B42931"/>
    <w:rsid w:val="00BD77A6"/>
    <w:rsid w:val="00EF72E4"/>
    <w:rsid w:val="00FA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0088"/>
  <w15:chartTrackingRefBased/>
  <w15:docId w15:val="{3EA38B65-2901-4903-BF66-3B48B2DB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03D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03D"/>
    <w:pPr>
      <w:spacing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03D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34703D"/>
    <w:pPr>
      <w:spacing w:before="120" w:line="240" w:lineRule="auto"/>
      <w:ind w:firstLine="720"/>
    </w:pPr>
  </w:style>
  <w:style w:type="character" w:styleId="Hyperlink">
    <w:name w:val="Hyperlink"/>
    <w:basedOn w:val="DefaultParagraphFont"/>
    <w:uiPriority w:val="99"/>
    <w:rsid w:val="0034703D"/>
    <w:rPr>
      <w:color w:val="0563C1" w:themeColor="hyperlink"/>
      <w:u w:val="single"/>
    </w:rPr>
  </w:style>
  <w:style w:type="paragraph" w:customStyle="1" w:styleId="Teaser">
    <w:name w:val="Teaser"/>
    <w:basedOn w:val="Normal"/>
    <w:rsid w:val="0034703D"/>
    <w:pPr>
      <w:spacing w:before="12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mailto:hauer@uga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9E63EB41BFD45B3713F1A4F9A6C25" ma:contentTypeVersion="10" ma:contentTypeDescription="Create a new document." ma:contentTypeScope="" ma:versionID="07576d8a119b2559161a6abb63c6941b">
  <xsd:schema xmlns:xsd="http://www.w3.org/2001/XMLSchema" xmlns:xs="http://www.w3.org/2001/XMLSchema" xmlns:p="http://schemas.microsoft.com/office/2006/metadata/properties" xmlns:ns3="54a4078d-61f4-41b2-9134-514de36988b3" targetNamespace="http://schemas.microsoft.com/office/2006/metadata/properties" ma:root="true" ma:fieldsID="e508bf29e1e4c4c3c6eadd076d9c17b0" ns3:_="">
    <xsd:import namespace="54a4078d-61f4-41b2-9134-514de36988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4078d-61f4-41b2-9134-514de3698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7AD5DA-2F53-4F62-B45F-805C5F5B4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a4078d-61f4-41b2-9134-514de36988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0106D6-01CF-4F52-9944-A2921604C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9742A5-FF68-4A03-A2A1-4427C5AE19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Hauer</dc:creator>
  <cp:keywords/>
  <dc:description/>
  <cp:lastModifiedBy>Mathew Hauer</cp:lastModifiedBy>
  <cp:revision>3</cp:revision>
  <dcterms:created xsi:type="dcterms:W3CDTF">2020-06-03T16:58:00Z</dcterms:created>
  <dcterms:modified xsi:type="dcterms:W3CDTF">2020-06-04T01:09:00Z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0x0101005769E63EB41BFD45B3713F1A4F9A6C25</vt:lpwstr>
  </property>
</Properties>
</file>