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A6B2A"/>
          <w:sz w:val="40"/>
          <w:szCs w:val="40"/>
        </w:rPr>
        <w:t xml:space="preserve">ICONSHERALD</w:t>
      </w:r>
    </w:p>
    <w:p>
      <w:pPr>
        <w:spacing w:after="200"/>
      </w:pPr>
      <w:r>
        <w:rPr>
          <w:i/>
          <w:iCs/>
          <w:sz w:val="24"/>
          <w:szCs w:val="24"/>
        </w:rPr>
        <w:t xml:space="preserve">Herald Yourself.</w:t>
      </w:r>
    </w:p>
    <w:p>
      <w:pPr>
        <w:spacing w:after="400"/>
      </w:pPr>
      <w:r>
        <w:rPr>
          <w:color w:val="595959"/>
          <w:sz w:val="22"/>
          <w:szCs w:val="22"/>
        </w:rPr>
        <w:t xml:space="preserve">IconsHerald.com  ·  founder@iconsherald.com</w:t>
      </w:r>
    </w:p>
    <w:p>
      <w:pPr>
        <w:spacing w:after="80"/>
      </w:pPr>
      <w:r>
        <w:rPr>
          <w:b/>
          <w:bCs/>
          <w:sz w:val="36"/>
          <w:szCs w:val="36"/>
        </w:rPr>
        <w:t xml:space="preserve">Master Build Reference</w:t>
      </w:r>
    </w:p>
    <w:p>
      <w:pPr>
        <w:spacing w:after="80"/>
      </w:pPr>
      <w:r>
        <w:rPr>
          <w:i/>
          <w:iCs/>
          <w:color w:val="9A6B2A"/>
          <w:sz w:val="24"/>
          <w:szCs w:val="24"/>
        </w:rPr>
        <w:t xml:space="preserve">Version 3.0 — Laravel &amp; Filament Edition</w:t>
      </w:r>
    </w:p>
    <w:p>
      <w:pPr>
        <w:spacing w:after="300"/>
      </w:pPr>
      <w:r>
        <w:rPr>
          <w:i/>
          <w:iCs/>
          <w:sz w:val="21"/>
          <w:szCs w:val="21"/>
        </w:rPr>
        <w:t xml:space="preserve">Constitution · Full-Stack PRD (Laravel + Filament) · Operational Decisions Log · Cursor Working Guide</w:t>
      </w:r>
    </w:p>
    <w:p>
      <w:pPr>
        <w:spacing w:after="100"/>
      </w:pPr>
      <w:r>
        <w:rPr>
          <w:sz w:val="21"/>
          <w:szCs w:val="21"/>
        </w:rPr>
        <w:t xml:space="preserve">Prepared for Mathew Varghese Perangatt  ·  Oreon Dynamics Pvt Ltd (proposed)</w:t>
      </w:r>
    </w:p>
    <w:p>
      <w:pPr>
        <w:spacing w:after="100"/>
      </w:pPr>
      <w:r>
        <w:rPr>
          <w:sz w:val="21"/>
          <w:szCs w:val="21"/>
        </w:rPr>
        <w:t xml:space="preserve">Document version 3.0 (Laravel &amp; Filament Edition)  ·  June 2026</w:t>
      </w:r>
    </w:p>
    <w:p>
      <w:pPr>
        <w:spacing w:after="400"/>
      </w:pPr>
      <w:r>
        <w:rPr>
          <w:i/>
          <w:iCs/>
          <w:color w:val="595959"/>
        </w:rPr>
        <w:t xml:space="preserve">Supersedes: Master Build Reference v2.0 (all technical/build sections — Parts Two, Three). Part One (Constitution) carries forward unchanged in substance. Reads alongside: V9 Revision Brief v3.0 and V9 Addendum v1.0, which remain the authoritative source for homepage copy, navigation wording, and the Register search specification — not duplicated in this document.</w:t>
      </w:r>
    </w:p>
    <w:p>
      <w:r>
        <w:br w:type="page"/>
      </w:r>
    </w:p>
    <w:p>
      <w:pPr>
        <w:pStyle w:val="Heading1"/>
      </w:pPr>
      <w:r>
        <w:t xml:space="preserve">Document Map</w:t>
      </w:r>
    </w:p>
    <w:p>
      <w:pPr>
        <w:spacing w:after="160"/>
      </w:pPr>
      <w:r>
        <w:t xml:space="preserve">This document has four parts:</w:t>
      </w:r>
    </w:p>
    <w:p>
      <w:pPr>
        <w:pStyle w:val="ListParagraph"/>
        <w:numPr>
          <w:ilvl w:val="0"/>
          <w:numId w:val="2"/>
        </w:numPr>
        <w:spacing w:after="100"/>
      </w:pPr>
      <w:r>
        <w:t xml:space="preserve">How to Use This Document With Cursor — read this first, every time, before giving Cursor anything else.</w:t>
      </w:r>
    </w:p>
    <w:p>
      <w:pPr>
        <w:pStyle w:val="ListParagraph"/>
        <w:numPr>
          <w:ilvl w:val="0"/>
          <w:numId w:val="2"/>
        </w:numPr>
        <w:spacing w:after="100"/>
      </w:pPr>
      <w:r>
        <w:t xml:space="preserve">Part One — The IconsHerald Constitution (unchanged from v2.0).</w:t>
      </w:r>
    </w:p>
    <w:p>
      <w:pPr>
        <w:pStyle w:val="ListParagraph"/>
        <w:numPr>
          <w:ilvl w:val="0"/>
          <w:numId w:val="2"/>
        </w:numPr>
        <w:spacing w:after="100"/>
      </w:pPr>
      <w:r>
        <w:t xml:space="preserve">Part Two — The Full-Stack Build PRD, rewritten for Laravel + Filament + Railway.</w:t>
      </w:r>
    </w:p>
    <w:p>
      <w:pPr>
        <w:pStyle w:val="ListParagraph"/>
        <w:numPr>
          <w:ilvl w:val="0"/>
          <w:numId w:val="2"/>
        </w:numPr>
        <w:spacing w:after="100"/>
      </w:pPr>
      <w:r>
        <w:t xml:space="preserve">Part Three — Post-Launch Expansion Roadmap (unchanged in substance from v2.0).</w:t>
      </w:r>
    </w:p>
    <w:p>
      <w:pPr>
        <w:pStyle w:val="ListParagraph"/>
        <w:numPr>
          <w:ilvl w:val="0"/>
          <w:numId w:val="2"/>
        </w:numPr>
        <w:spacing w:after="100"/>
      </w:pPr>
      <w:r>
        <w:t xml:space="preserve">Part Four — Operational Decisions Log: everything decided since the V9 Addendum that affects the build, the demo site, or how Cursor should be briefed.</w:t>
      </w:r>
    </w:p>
    <w:p>
      <w:pPr>
        <w:pBdr>
          <w:bottom w:val="single" w:color="9A6B2A" w:sz="6" w:space="1"/>
        </w:pBdr>
        <w:spacing w:after="300" w:before="100"/>
      </w:pPr>
      <w:r>
        <w:t xml:space="preserve"/>
      </w:r>
    </w:p>
    <w:p>
      <w:pPr>
        <w:pStyle w:val="Heading1"/>
      </w:pPr>
      <w:r>
        <w:t xml:space="preserve">How to Use This Document With Cursor</w:t>
      </w:r>
    </w:p>
    <w:p>
      <w:pPr>
        <w:spacing w:after="160"/>
      </w:pPr>
      <w:r>
        <w:t xml:space="preserve">You are a complete beginner with no programming background, and you have told Cursor this directly. This section gives you the exact words to use and the exact order to do things in, including how to get the application hosted once it exists. Nothing here assumes you already know what any of it means.</w:t>
      </w:r>
    </w:p>
    <w:p>
      <w:pPr>
        <w:pStyle w:val="Heading2"/>
      </w:pPr>
      <w:r>
        <w:t xml:space="preserve">Step 1 — Tell Cursor exactly who it's working with</w:t>
      </w:r>
    </w:p>
    <w:p>
      <w:pPr>
        <w:spacing w:after="160"/>
      </w:pPr>
      <w:r>
        <w:t xml:space="preserve">Open Cursor on your project folder. Before anything else, paste this into Cursor's chat panel, unedited:</w:t>
      </w:r>
    </w:p>
    <w:p>
      <w:pPr>
        <w:pBdr>
          <w:left w:val="single" w:color="9A6B2A" w:sz="12" w:space="8"/>
        </w:pBdr>
        <w:spacing w:after="200"/>
      </w:pPr>
      <w:r>
        <w:rPr>
          <w:i/>
          <w:iCs/>
          <w:color w:val="595959"/>
          <w:sz w:val="21"/>
          <w:szCs w:val="21"/>
        </w:rPr>
        <w:t xml:space="preserve">"I am a complete beginner with no programming background. I need your full assistance at every step — explain what you are about to do before you do it, in plain language, and tell me exactly what to type, click, or run, including how to test that it worked. Do not assume I know any technical terms. If something might break or cost money (for example, switching Razorpay out of test mode), stop and ask me first, in plain language, before doing it."</w:t>
      </w:r>
    </w:p>
    <w:p>
      <w:pPr>
        <w:spacing w:after="160"/>
      </w:pPr>
      <w:r>
        <w:t xml:space="preserve">This single instruction does more to keep you safe and unconfused than anything else in this document — repeat it if Cursor ever starts moving too fast or using jargon without explaining it.</w:t>
      </w:r>
    </w:p>
    <w:p>
      <w:pPr>
        <w:pStyle w:val="Heading2"/>
      </w:pPr>
      <w:r>
        <w:t xml:space="preserve">Step 2 — Give Cursor the project files</w:t>
      </w:r>
    </w:p>
    <w:p>
      <w:pPr>
        <w:spacing w:after="160"/>
      </w:pPr>
      <w:r>
        <w:t xml:space="preserve">Save this document as a PDF inside your project folder (e.g. docs/MASTER_REFERENCE.pdf), alongside the demo HTML file (IconsHerald_Demo_V9_Final.html). Then tell Cursor:</w:t>
      </w:r>
    </w:p>
    <w:p>
      <w:pPr>
        <w:pBdr>
          <w:left w:val="single" w:color="9A6B2A" w:sz="12" w:space="8"/>
        </w:pBdr>
        <w:spacing w:after="200"/>
      </w:pPr>
      <w:r>
        <w:rPr>
          <w:i/>
          <w:iCs/>
          <w:color w:val="595959"/>
          <w:sz w:val="21"/>
          <w:szCs w:val="21"/>
        </w:rPr>
        <w:t xml:space="preserve">"Read docs/MASTER_REFERENCE.pdf and docs/IconsHerald_Demo_V9_Final.html in full before writing any code. Confirm back to me, in plain language, what IconsHerald is, what we are building, what stack we are using, and what Phase 1 involves — before you write a single line of code."</w:t>
      </w:r>
    </w:p>
    <w:p>
      <w:pPr>
        <w:spacing w:after="160"/>
      </w:pPr>
      <w:r>
        <w:t xml:space="preserve">Why this matters: an AI coding assistant will sometimes start generating code immediately if you don’t explicitly ask it to read and confirm first. Making it explain itself back to you in plain words is your checkpoint to catch a misunderstanding before it becomes fifty files of code built on the wrong assumption.</w:t>
      </w:r>
    </w:p>
    <w:p>
      <w:pPr>
        <w:pStyle w:val="Heading2"/>
      </w:pPr>
      <w:r>
        <w:t xml:space="preserve">Step 3 — Confirm the stack before anything is built</w:t>
      </w:r>
    </w:p>
    <w:p>
      <w:pPr>
        <w:spacing w:after="160"/>
      </w:pPr>
      <w:r>
        <w:t xml:space="preserve">Make sure Cursor's summary back to you explicitly says Laravel and Filament, not Next.js, React, or any other framework. If it mentions anything else, stop and correct it before proceeding — see Part Two, Section 2 for the confirmed stack.</w:t>
      </w:r>
    </w:p>
    <w:p>
      <w:pPr>
        <w:pStyle w:val="Heading2"/>
      </w:pPr>
      <w:r>
        <w:t xml:space="preserve">Step 4 — Work one phase at a time</w:t>
      </w:r>
    </w:p>
    <w:p>
      <w:pPr>
        <w:spacing w:after="160"/>
      </w:pPr>
      <w:r>
        <w:t xml:space="preserve">This document defines build phases in Part Two, Section 11. Never ask Cursor to “build the whole platform.” Ask it to do one phase, show you what it changed, and wait for your confirmation before moving to the next.</w:t>
      </w:r>
    </w:p>
    <w:p>
      <w:pPr>
        <w:pBdr>
          <w:left w:val="single" w:color="9A6B2A" w:sz="12" w:space="8"/>
        </w:pBdr>
        <w:spacing w:after="200"/>
      </w:pPr>
      <w:r>
        <w:rPr>
          <w:i/>
          <w:iCs/>
          <w:color w:val="595959"/>
          <w:sz w:val="21"/>
          <w:szCs w:val="21"/>
        </w:rPr>
        <w:t xml:space="preserve">"We are working on Phase 1 only right now — project scaffold, database schema, and authentication. Do not start Phase 2 or any later phase without my explicit instruction, even if it seems efficient to continue."</w:t>
      </w:r>
    </w:p>
    <w:p>
      <w:pPr>
        <w:pStyle w:val="Heading2"/>
      </w:pPr>
      <w:r>
        <w:t xml:space="preserve">Step 5 — When something goes wrong or looks unfamiliar</w:t>
      </w:r>
    </w:p>
    <w:p>
      <w:pPr>
        <w:spacing w:after="160"/>
      </w:pPr>
      <w:r>
        <w:t xml:space="preserve">You will see error messages, terminal output, or Cursor asking you questions you don't understand. This is completely normal — it happens to experienced developers too.</w:t>
      </w:r>
    </w:p>
    <w:p>
      <w:pPr>
        <w:pStyle w:val="ListParagraph"/>
        <w:numPr>
          <w:ilvl w:val="0"/>
          <w:numId w:val="2"/>
        </w:numPr>
        <w:spacing w:after="100"/>
      </w:pPr>
      <w:r>
        <w:t xml:space="preserve">Do not guess, and do not let Cursor “just try things” repeatedly without understanding why the first attempt failed.</w:t>
      </w:r>
    </w:p>
    <w:p>
      <w:pPr>
        <w:pStyle w:val="ListParagraph"/>
        <w:numPr>
          <w:ilvl w:val="0"/>
          <w:numId w:val="2"/>
        </w:numPr>
        <w:spacing w:after="100"/>
      </w:pPr>
      <w:r>
        <w:t xml:space="preserve">Copy the exact error message or Cursor's exact question, and bring it to a separate conversation with Claude. Paste it in along with what you were trying to do.</w:t>
      </w:r>
    </w:p>
    <w:p>
      <w:pPr>
        <w:pStyle w:val="ListParagraph"/>
        <w:numPr>
          <w:ilvl w:val="0"/>
          <w:numId w:val="2"/>
        </w:numPr>
        <w:spacing w:after="100"/>
      </w:pPr>
      <w:r>
        <w:t xml:space="preserve">Claude will tell you in plain language what it means and exactly what to click, type, or approve — then you take that back to Cursor.</w:t>
      </w:r>
    </w:p>
    <w:p>
      <w:pPr>
        <w:pBdr>
          <w:left w:val="single" w:color="9A6B2A" w:sz="12" w:space="8"/>
        </w:pBdr>
        <w:spacing w:after="200"/>
      </w:pPr>
      <w:r>
        <w:rPr>
          <w:i/>
          <w:iCs/>
          <w:color w:val="595959"/>
          <w:sz w:val="21"/>
          <w:szCs w:val="21"/>
        </w:rPr>
        <w:t xml:space="preserve">This back-and-forth between Cursor and a separate Claude conversation is intentional, not a workaround. Cursor is excellent at writing code quickly; it is not always the best at explaining itself patiently to someone learning as they go. Use each tool for what it's good at.</w:t>
      </w:r>
    </w:p>
    <w:p>
      <w:pPr>
        <w:pStyle w:val="Heading2"/>
      </w:pPr>
      <w:r>
        <w:t xml:space="preserve">Step 6 — Protect yourself from silent scope creep</w:t>
      </w:r>
    </w:p>
    <w:p>
      <w:pPr>
        <w:spacing w:after="160"/>
      </w:pPr>
      <w:r>
        <w:t xml:space="preserve">This document separates “what must exist to go live” (Part Two) from “what could be added later” (Part Three). If Cursor ever proposes adding something from Part Three, or anything not in this document at all, stop and ask: does this need to exist before I have paying members, or can it wait?</w:t>
      </w:r>
    </w:p>
    <w:p>
      <w:pPr>
        <w:pBdr>
          <w:left w:val="single" w:color="9A6B2A" w:sz="12" w:space="8"/>
        </w:pBdr>
        <w:spacing w:after="200"/>
      </w:pPr>
      <w:r>
        <w:rPr>
          <w:i/>
          <w:iCs/>
          <w:color w:val="595959"/>
          <w:sz w:val="21"/>
          <w:szCs w:val="21"/>
        </w:rPr>
        <w:t xml:space="preserve">"Before adding any feature not explicitly listed in Part Two of the master reference, pause and tell me what you want to add and why, instead of building it."</w:t>
      </w:r>
    </w:p>
    <w:p>
      <w:pPr>
        <w:pStyle w:val="Heading2"/>
      </w:pPr>
      <w:r>
        <w:t xml:space="preserve">Step 7 — Hosting, explained step by step</w:t>
      </w:r>
    </w:p>
    <w:p>
      <w:pPr>
        <w:spacing w:after="160"/>
      </w:pPr>
      <w:r>
        <w:t xml:space="preserve">You don't need to understand servers to do this. Hosting means: putting your finished application on a computer that's always switched on and connected to the internet, so visitors can reach it. Here is the exact sequence, in order, for when Cursor tells you a phase is ready to deploy.</w:t>
      </w:r>
    </w:p>
    <w:p>
      <w:pPr>
        <w:pStyle w:val="Heading3"/>
      </w:pPr>
      <w:r>
        <w:t xml:space="preserve">7.1 Create a staging address first — never the real domain</w:t>
      </w:r>
    </w:p>
    <w:p>
      <w:pPr>
        <w:spacing w:after="160"/>
      </w:pPr>
      <w:r>
        <w:t xml:space="preserve">Your real domain, iconsherald.com, currently points at your live demo on Vercel. Do not touch that yet. The real Laravel build gets a separate, temporary address while it's being built and tested:</w:t>
      </w:r>
    </w:p>
    <w:p>
      <w:pPr>
        <w:pStyle w:val="ListParagraph"/>
        <w:numPr>
          <w:ilvl w:val="0"/>
          <w:numId w:val="3"/>
        </w:numPr>
        <w:spacing w:after="100"/>
      </w:pPr>
      <w:r>
        <w:t xml:space="preserve">Tell Cursor: "Deploy this to Railway and give me the URL it generates." Railway will give you an address like yourapp.up.railway.app — this is normal and temporary.</w:t>
      </w:r>
    </w:p>
    <w:p>
      <w:pPr>
        <w:pStyle w:val="ListParagraph"/>
        <w:numPr>
          <w:ilvl w:val="0"/>
          <w:numId w:val="3"/>
        </w:numPr>
        <w:spacing w:after="100"/>
      </w:pPr>
      <w:r>
        <w:t xml:space="preserve">Log into Cloudflare (where your domain's DNS is managed). Go to the DNS settings for iconsherald.com.</w:t>
      </w:r>
    </w:p>
    <w:p>
      <w:pPr>
        <w:pStyle w:val="ListParagraph"/>
        <w:numPr>
          <w:ilvl w:val="0"/>
          <w:numId w:val="3"/>
        </w:numPr>
        <w:spacing w:after="100"/>
      </w:pPr>
      <w:r>
        <w:t xml:space="preserve">Add a new CNAME record: Name = app (or staging), Target = the Railway address Cursor gives you, Proxy status = Proxied (orange cloud, the default).</w:t>
      </w:r>
    </w:p>
    <w:p>
      <w:pPr>
        <w:pStyle w:val="ListParagraph"/>
        <w:numPr>
          <w:ilvl w:val="0"/>
          <w:numId w:val="3"/>
        </w:numPr>
        <w:spacing w:after="100"/>
      </w:pPr>
      <w:r>
        <w:t xml:space="preserve">Within a few minutes, app.iconsherald.com will load your real, in-progress Laravel application — completely separate from your live demo at iconsherald.com.</w:t>
      </w:r>
    </w:p>
    <w:p>
      <w:pPr>
        <w:pBdr>
          <w:left w:val="single" w:color="9A6B2A" w:sz="12" w:space="8"/>
        </w:pBdr>
        <w:spacing w:after="200"/>
      </w:pPr>
      <w:r>
        <w:rPr>
          <w:i/>
          <w:iCs/>
          <w:color w:val="595959"/>
          <w:sz w:val="21"/>
          <w:szCs w:val="21"/>
        </w:rPr>
        <w:t xml:space="preserve">This is exactly why you keep both sites separate: you, and your son if he tests it, can find bugs on app.iconsherald.com with zero risk of a real visitor stumbling into broken work-in-progress.</w:t>
      </w:r>
    </w:p>
    <w:p>
      <w:pPr>
        <w:pStyle w:val="Heading3"/>
      </w:pPr>
      <w:r>
        <w:t xml:space="preserve">7.2 Setting up Railway, step by step</w:t>
      </w:r>
    </w:p>
    <w:p>
      <w:pPr>
        <w:pStyle w:val="ListParagraph"/>
        <w:numPr>
          <w:ilvl w:val="0"/>
          <w:numId w:val="4"/>
        </w:numPr>
        <w:spacing w:after="100"/>
      </w:pPr>
      <w:r>
        <w:t xml:space="preserve">Go to railway.app and sign up — you can sign in with your GitHub account, which is the simplest option.</w:t>
      </w:r>
    </w:p>
    <w:p>
      <w:pPr>
        <w:pStyle w:val="ListParagraph"/>
        <w:numPr>
          <w:ilvl w:val="0"/>
          <w:numId w:val="4"/>
        </w:numPr>
        <w:spacing w:after="100"/>
      </w:pPr>
      <w:r>
        <w:t xml:space="preserve">Tell Cursor: "Connect this project's GitHub repository to a new Railway project." Cursor will either do this for you via the Railway CLI, or walk you through clicking "New Project" → "Deploy from GitHub repo" on the Railway dashboard.</w:t>
      </w:r>
    </w:p>
    <w:p>
      <w:pPr>
        <w:pStyle w:val="ListParagraph"/>
        <w:numPr>
          <w:ilvl w:val="0"/>
          <w:numId w:val="4"/>
        </w:numPr>
        <w:spacing w:after="100"/>
      </w:pPr>
      <w:r>
        <w:t xml:space="preserve">On the Railway dashboard, click "+ New" and add a MySQL database to the same project — this becomes your application's database, separate from the application code itself.</w:t>
      </w:r>
    </w:p>
    <w:p>
      <w:pPr>
        <w:pStyle w:val="ListParagraph"/>
        <w:numPr>
          <w:ilvl w:val="0"/>
          <w:numId w:val="4"/>
        </w:numPr>
        <w:spacing w:after="100"/>
      </w:pPr>
      <w:r>
        <w:t xml:space="preserve">Railway will show you a list of Variables (this just means settings/secrets your app needs to run). Ask Cursor: "Tell me exactly which environment variables I need to add in Railway, and what each one is for, in plain language." Add them in the Railway dashboard under your service → Variables tab — never inside your code files.</w:t>
      </w:r>
    </w:p>
    <w:p>
      <w:pPr>
        <w:pStyle w:val="ListParagraph"/>
        <w:numPr>
          <w:ilvl w:val="0"/>
          <w:numId w:val="4"/>
        </w:numPr>
        <w:spacing w:after="100"/>
      </w:pPr>
      <w:r>
        <w:t xml:space="preserve">Click Deploy. Railway will build and start your application automatically each time you push a change to GitHub from then on.</w:t>
      </w:r>
    </w:p>
    <w:p>
      <w:pPr>
        <w:pStyle w:val="Heading3"/>
      </w:pPr>
      <w:r>
        <w:t xml:space="preserve">7.3 Razorpay must stay in test mode throughout this entire process</w:t>
      </w:r>
    </w:p>
    <w:p>
      <w:pPr>
        <w:spacing w:after="160"/>
      </w:pPr>
      <w:r>
        <w:t xml:space="preserve">Razorpay has two separate sets of keys: test keys (fake money, safe to break) and live keys (real money, real risk). Every environment variable related to Razorpay, on Railway, must use the test keys until you explicitly decide to go live.</w:t>
      </w:r>
    </w:p>
    <w:p>
      <w:pPr>
        <w:pBdr>
          <w:left w:val="single" w:color="9A6B2A" w:sz="12" w:space="8"/>
        </w:pBdr>
        <w:spacing w:after="200"/>
      </w:pPr>
      <w:r>
        <w:rPr>
          <w:i/>
          <w:iCs/>
          <w:color w:val="595959"/>
          <w:sz w:val="21"/>
          <w:szCs w:val="21"/>
        </w:rPr>
        <w:t xml:space="preserve">Standing instruction for Cursor: "Configure Razorpay in test mode only for the entire duration of this build. Never switch to live keys without my explicit, separate instruction. If any code change would affect which mode is active, tell me before making it."</w:t>
      </w:r>
    </w:p>
    <w:p>
      <w:pPr>
        <w:pStyle w:val="Heading3"/>
      </w:pPr>
      <w:r>
        <w:t xml:space="preserve">7.4 Going live, when the day comes</w:t>
      </w:r>
    </w:p>
    <w:p>
      <w:pPr>
        <w:spacing w:after="160"/>
      </w:pPr>
      <w:r>
        <w:t xml:space="preserve">When the real application is fully built and tested on app.iconsherald.com, switching it to be the real site is a DNS change, not a rebuild:</w:t>
      </w:r>
    </w:p>
    <w:p>
      <w:pPr>
        <w:pStyle w:val="ListParagraph"/>
        <w:numPr>
          <w:ilvl w:val="0"/>
          <w:numId w:val="5"/>
        </w:numPr>
        <w:spacing w:after="100"/>
      </w:pPr>
      <w:r>
        <w:t xml:space="preserve">In Cloudflare, change the existing record for the root domain (iconsherald.com) and www so they point at Railway instead of Vercel, the same way the app subdomain already does.</w:t>
      </w:r>
    </w:p>
    <w:p>
      <w:pPr>
        <w:pStyle w:val="ListParagraph"/>
        <w:numPr>
          <w:ilvl w:val="0"/>
          <w:numId w:val="5"/>
        </w:numPr>
        <w:spacing w:after="100"/>
      </w:pPr>
      <w:r>
        <w:t xml:space="preserve">Decide what happens to the old demo — it can simply be retired, or kept reachable at something like demo.iconsherald.com as a "before" reference.</w:t>
      </w:r>
    </w:p>
    <w:p>
      <w:pPr>
        <w:pStyle w:val="ListParagraph"/>
        <w:numPr>
          <w:ilvl w:val="0"/>
          <w:numId w:val="5"/>
        </w:numPr>
        <w:spacing w:after="100"/>
      </w:pPr>
      <w:r>
        <w:t xml:space="preserve">Only after this switch, and only with your explicit confirmation, does Razorpay move from test keys to live keys.</w:t>
      </w:r>
    </w:p>
    <w:p>
      <w:pPr>
        <w:pBdr>
          <w:bottom w:val="single" w:color="9A6B2A" w:sz="6" w:space="1"/>
        </w:pBdr>
        <w:spacing w:after="300" w:before="100"/>
      </w:pPr>
      <w:r>
        <w:t xml:space="preserve"/>
      </w:r>
    </w:p>
    <w:p>
      <w:r>
        <w:br w:type="page"/>
      </w:r>
    </w:p>
    <w:p>
      <w:pPr>
        <w:spacing w:after="100"/>
        <w:jc w:val="center"/>
      </w:pPr>
      <w:r>
        <w:rPr>
          <w:b/>
          <w:bCs/>
          <w:color w:val="9A6B2A"/>
          <w:sz w:val="28"/>
          <w:szCs w:val="28"/>
        </w:rPr>
        <w:t xml:space="preserve">PART ONE</w:t>
      </w:r>
    </w:p>
    <w:p>
      <w:pPr>
        <w:spacing w:after="400"/>
        <w:jc w:val="center"/>
      </w:pPr>
      <w:r>
        <w:rPr>
          <w:b/>
          <w:bCs/>
          <w:sz w:val="32"/>
          <w:szCs w:val="32"/>
        </w:rPr>
        <w:t xml:space="preserve">The IconsHerald Constitution</w:t>
      </w:r>
    </w:p>
    <w:p>
      <w:pPr>
        <w:pStyle w:val="Heading1"/>
      </w:pPr>
      <w:r>
        <w:t xml:space="preserve">0. The IconsHerald Constitution</w:t>
      </w:r>
    </w:p>
    <w:p>
      <w:pPr>
        <w:spacing w:after="160"/>
      </w:pPr>
      <w:r>
        <w:t xml:space="preserve">This Constitution defines the philosophy IconsHerald is built on. It comes first, before the technical plan, because every technical decision in this document should be traceable back to a principle stated here. If a future decision — yours, mine, or Cursor's — conflicts with something below, the Constitution wins.</w:t>
      </w:r>
    </w:p>
    <w:p>
      <w:pPr>
        <w:pStyle w:val="Heading2"/>
      </w:pPr>
      <w:r>
        <w:t xml:space="preserve">0.1 What IconsHerald Is</w:t>
      </w:r>
    </w:p>
    <w:p>
      <w:pPr>
        <w:spacing w:after="160"/>
      </w:pPr>
      <w:r>
        <w:t xml:space="preserve">IconsHerald is a permanent editorial institution that professionally documents distinguished careers through carefully written third-person biographies.</w:t>
      </w:r>
    </w:p>
    <w:p>
      <w:pPr>
        <w:pStyle w:val="ListParagraph"/>
        <w:numPr>
          <w:ilvl w:val="0"/>
          <w:numId w:val="2"/>
        </w:numPr>
        <w:spacing w:after="100"/>
      </w:pPr>
      <w:r>
        <w:t xml:space="preserve">It is not a social network.</w:t>
      </w:r>
    </w:p>
    <w:p>
      <w:pPr>
        <w:pStyle w:val="ListParagraph"/>
        <w:numPr>
          <w:ilvl w:val="0"/>
          <w:numId w:val="2"/>
        </w:numPr>
        <w:spacing w:after="100"/>
      </w:pPr>
      <w:r>
        <w:t xml:space="preserve">It is not a résumé website.</w:t>
      </w:r>
    </w:p>
    <w:p>
      <w:pPr>
        <w:pStyle w:val="ListParagraph"/>
        <w:numPr>
          <w:ilvl w:val="0"/>
          <w:numId w:val="2"/>
        </w:numPr>
        <w:spacing w:after="100"/>
      </w:pPr>
      <w:r>
        <w:t xml:space="preserve">It is not a job portal.</w:t>
      </w:r>
    </w:p>
    <w:p>
      <w:pPr>
        <w:spacing w:after="160"/>
      </w:pPr>
      <w:r>
        <w:t xml:space="preserve">Every page, every feature, and every line of code should reinforce dignity, permanence, editorial excellence, and professional legacy. Build and write as the Editor-in-Chief and Creative Director of IconsHerald would, not merely as a web developer would.</w:t>
      </w:r>
    </w:p>
    <w:p>
      <w:pPr>
        <w:pStyle w:val="Heading2"/>
      </w:pPr>
      <w:r>
        <w:t xml:space="preserve">0.2 Founder Operating Principles</w:t>
      </w:r>
    </w:p>
    <w:p>
      <w:pPr>
        <w:pStyle w:val="ListParagraph"/>
        <w:numPr>
          <w:ilvl w:val="0"/>
          <w:numId w:val="2"/>
        </w:numPr>
        <w:spacing w:after="100"/>
      </w:pPr>
      <w:r>
        <w:rPr>
          <w:b/>
          <w:bCs/>
        </w:rPr>
        <w:t xml:space="preserve">Trust above growth. </w:t>
      </w:r>
      <w:r>
        <w:t xml:space="preserve">A slower platform that members trust completely beats a fast one that cuts corners.</w:t>
      </w:r>
    </w:p>
    <w:p>
      <w:pPr>
        <w:pStyle w:val="ListParagraph"/>
        <w:numPr>
          <w:ilvl w:val="0"/>
          <w:numId w:val="2"/>
        </w:numPr>
        <w:spacing w:after="100"/>
      </w:pPr>
      <w:r>
        <w:rPr>
          <w:b/>
          <w:bCs/>
        </w:rPr>
        <w:t xml:space="preserve">Editorial quality above speed. </w:t>
      </w:r>
      <w:r>
        <w:t xml:space="preserve">A biography published a week later but written properly is worth more than one rushed to publish.</w:t>
      </w:r>
    </w:p>
    <w:p>
      <w:pPr>
        <w:pStyle w:val="ListParagraph"/>
        <w:numPr>
          <w:ilvl w:val="0"/>
          <w:numId w:val="2"/>
        </w:numPr>
        <w:spacing w:after="100"/>
      </w:pPr>
      <w:r>
        <w:rPr>
          <w:b/>
          <w:bCs/>
        </w:rPr>
        <w:t xml:space="preserve">Simplicity above complexity. </w:t>
      </w:r>
      <w:r>
        <w:t xml:space="preserve">Every added feature is a thing that can break, and a thing the founder must understand. Default to the simpler option unless there is a clear, stated reason not to.</w:t>
      </w:r>
    </w:p>
    <w:p>
      <w:pPr>
        <w:pStyle w:val="ListParagraph"/>
        <w:numPr>
          <w:ilvl w:val="0"/>
          <w:numId w:val="2"/>
        </w:numPr>
        <w:spacing w:after="100"/>
      </w:pPr>
      <w:r>
        <w:rPr>
          <w:b/>
          <w:bCs/>
        </w:rPr>
        <w:t xml:space="preserve">AI assists; humans publish. </w:t>
      </w:r>
      <w:r>
        <w:t xml:space="preserve">AI tools (Claude API, portrait enhancement, or any future AI feature) may draft, suggest, or generate — but no content reaches a public page without explicit human editorial approval.</w:t>
      </w:r>
    </w:p>
    <w:p>
      <w:pPr>
        <w:pStyle w:val="ListParagraph"/>
        <w:numPr>
          <w:ilvl w:val="0"/>
          <w:numId w:val="2"/>
        </w:numPr>
        <w:spacing w:after="100"/>
      </w:pPr>
      <w:r>
        <w:rPr>
          <w:b/>
          <w:bCs/>
        </w:rPr>
        <w:t xml:space="preserve">IconsHerald is an editorial institution, not a social network. </w:t>
      </w:r>
      <w:r>
        <w:t xml:space="preserve">Any feature that nudges the platform toward likes, public popularity, follower counts, or viral mechanics is in conflict with this Constitution and should be reconsidered or rejected.</w:t>
      </w:r>
    </w:p>
    <w:p>
      <w:pPr>
        <w:pStyle w:val="Heading2"/>
      </w:pPr>
      <w:r>
        <w:t xml:space="preserve">0.3 The Founder Principle</w:t>
      </w:r>
    </w:p>
    <w:p>
      <w:pPr>
        <w:spacing w:after="160"/>
      </w:pPr>
      <w:r>
        <w:t xml:space="preserve">The founder (Mathew) must be able to operate the business without editing source code.</w:t>
      </w:r>
    </w:p>
    <w:p>
      <w:pPr>
        <w:spacing w:after="160"/>
      </w:pPr>
      <w:r>
        <w:t xml:space="preserve">This means the admin/editorial panel — now built with Filament — is not a developer convenience; it is the actual operating console for the business. Pricing, copy for standard emails, FAQ content, and routine editorial operations should be manageable from within the application, not by opening a code editor. Where something genuinely must live in code (e.g. core pricing logic, security settings), it should be isolated, clearly commented, and changed rarely and carefully.</w:t>
      </w:r>
    </w:p>
    <w:p>
      <w:pPr>
        <w:pStyle w:val="Heading2"/>
      </w:pPr>
      <w:r>
        <w:t xml:space="preserve">0.4 Tiers and Editorial Quality</w:t>
      </w:r>
    </w:p>
    <w:p>
      <w:pPr>
        <w:spacing w:after="160"/>
      </w:pPr>
      <w:r>
        <w:t xml:space="preserve">Emerging, Accomplished, and Distinguished differ in editorial depth and presentation — how much material is gathered, how the profile is laid out, how many photographs and supporting elements it includes. They do not differ in the standard of editorial care applied. A member on the Emerging package receives the same conscientious, accurate, third-person editorial voice as a member on Distinguished. Tier is about scope, never about quality.</w:t>
      </w:r>
    </w:p>
    <w:p>
      <w:pPr>
        <w:pStyle w:val="Heading2"/>
      </w:pPr>
      <w:r>
        <w:t xml:space="preserve">0.5 In Memoriam Stands Apart</w:t>
      </w:r>
    </w:p>
    <w:p>
      <w:pPr>
        <w:spacing w:after="160"/>
      </w:pPr>
      <w:r>
        <w:t xml:space="preserve">In Memoriam is IconsHerald's separate memorial archive division, reserved exclusively for individuals who are no longer with us, commissioned by families, foundations, or institutions. It is never a tier of the living Register, never self-service, and is held to a more restrained, dignified, less commercial tone throughout. This separation must be preserved architecturally (in the database and routing) as well as visually — see Part Two, Section 7.</w:t>
      </w:r>
    </w:p>
    <w:p>
      <w:pPr>
        <w:pBdr>
          <w:left w:val="single" w:color="9A6B2A" w:sz="12" w:space="8"/>
        </w:pBdr>
        <w:spacing w:after="200"/>
      </w:pPr>
      <w:r>
        <w:rPr>
          <w:i/>
          <w:iCs/>
          <w:color w:val="595959"/>
          <w:sz w:val="21"/>
          <w:szCs w:val="21"/>
        </w:rPr>
        <w:t xml:space="preserve">Renamed from “Legacies” to “In Memoriam” per the V9 Revision Brief. This rename applies everywhere — code, routes, database table names where practical, and all copy.</w:t>
      </w:r>
    </w:p>
    <w:p>
      <w:pPr>
        <w:pStyle w:val="Heading2"/>
      </w:pPr>
      <w:r>
        <w:t xml:space="preserve">0.6 The Final Instruction</w:t>
      </w:r>
    </w:p>
    <w:p>
      <w:pPr>
        <w:spacing w:after="160"/>
      </w:pPr>
      <w:r>
        <w:t xml:space="preserve">Whenever you, or Cursor, or I am uncertain about how to implement something — a feature, a UI choice, a database decision, a piece of copy — ask:</w:t>
      </w:r>
    </w:p>
    <w:p>
      <w:pPr>
        <w:spacing w:after="200"/>
        <w:jc w:val="center"/>
      </w:pPr>
      <w:r>
        <w:rPr>
          <w:b/>
          <w:bCs/>
          <w:i/>
          <w:iCs/>
        </w:rPr>
        <w:t xml:space="preserve">Does this improve trust, editorial quality, maintainability, or member experience?</w:t>
      </w:r>
    </w:p>
    <w:p>
      <w:pPr>
        <w:spacing w:after="160"/>
      </w:pPr>
      <w:r>
        <w:t xml:space="preserve">If the honest answer is no, reconsider the implementation before proceeding, regardless of how small the change seems.</w:t>
      </w:r>
    </w:p>
    <w:p>
      <w:pPr>
        <w:pBdr>
          <w:bottom w:val="single" w:color="9A6B2A" w:sz="6" w:space="1"/>
        </w:pBdr>
        <w:spacing w:after="300" w:before="100"/>
      </w:pPr>
      <w:r>
        <w:t xml:space="preserve"/>
      </w:r>
    </w:p>
    <w:p>
      <w:r>
        <w:br w:type="page"/>
      </w:r>
    </w:p>
    <w:p>
      <w:pPr>
        <w:spacing w:after="100"/>
        <w:jc w:val="center"/>
      </w:pPr>
      <w:r>
        <w:rPr>
          <w:b/>
          <w:bCs/>
          <w:color w:val="9A6B2A"/>
          <w:sz w:val="28"/>
          <w:szCs w:val="28"/>
        </w:rPr>
        <w:t xml:space="preserve">PART TWO</w:t>
      </w:r>
    </w:p>
    <w:p>
      <w:pPr>
        <w:spacing w:after="400"/>
        <w:jc w:val="center"/>
      </w:pPr>
      <w:r>
        <w:rPr>
          <w:b/>
          <w:bCs/>
          <w:sz w:val="32"/>
          <w:szCs w:val="32"/>
        </w:rPr>
        <w:t xml:space="preserve">The Full-Stack Build PRD — Laravel &amp; Filament Edition</w:t>
      </w:r>
    </w:p>
    <w:p>
      <w:pPr>
        <w:pStyle w:val="Heading1"/>
      </w:pPr>
      <w:r>
        <w:t xml:space="preserve">1. Purpose &amp; Scope of This Part</w:t>
      </w:r>
    </w:p>
    <w:p>
      <w:pPr>
        <w:spacing w:after="160"/>
      </w:pPr>
      <w:r>
        <w:t xml:space="preserve">This part defines what needs to be built to take IconsHerald from the approved V9 single-file HTML demo into a secure, production full-stack website, using Laravel and Filament. It is written to be handed directly to Cursor as the working brief for implementation.</w:t>
      </w:r>
    </w:p>
    <w:p>
      <w:pPr>
        <w:spacing w:after="160"/>
      </w:pPr>
      <w:r>
        <w:t xml:space="preserve">The V9 demo already settled the visual identity, content architecture, pricing model, legal pages, and the separation between the living-professional Register and the In Memoriam division. None of that is being redesigned. This document covers everything the demo intentionally left out: real data, real authentication, real payments, an editorial workflow, an admin panel, and the security a public-facing payment-collecting website actually needs.</w:t>
      </w:r>
    </w:p>
    <w:p>
      <w:pPr>
        <w:pBdr>
          <w:left w:val="single" w:color="9A6B2A" w:sz="12" w:space="8"/>
        </w:pBdr>
        <w:spacing w:after="200"/>
      </w:pPr>
      <w:r>
        <w:rPr>
          <w:i/>
          <w:iCs/>
          <w:color w:val="595959"/>
          <w:sz w:val="21"/>
          <w:szCs w:val="21"/>
        </w:rPr>
        <w:t xml:space="preserve">Working instruction for Cursor: build the full-stack application using the V9 demo as the visual and content reference. Because the demo is plain HTML and CSS, most of its markup can be ported directly into Laravel Blade view files with comparatively little rework — a genuine advantage of this stack over a component-based framework, where the demo's structure would have needed to be rebuilt from scratch as components.</w:t>
      </w:r>
    </w:p>
    <w:p>
      <w:pPr>
        <w:pBdr>
          <w:left w:val="single" w:color="9A6B2A" w:sz="12" w:space="8"/>
        </w:pBdr>
        <w:spacing w:after="200"/>
      </w:pPr>
      <w:r>
        <w:rPr>
          <w:i/>
          <w:iCs/>
          <w:color w:val="595959"/>
          <w:sz w:val="21"/>
          <w:szCs w:val="21"/>
        </w:rPr>
        <w:t xml:space="preserve">Operating model: the founder (Mathew) is building this solo, as a non-technical, complete-beginner founder, with Cursor as the hands-on coding tool and Claude (in a separate conversation) as an ongoing technical translator and second opinion. Every Editor/Admin task in this document falls to the founder alone unless and until he chooses to bring someone else in.</w:t>
      </w:r>
    </w:p>
    <w:p>
      <w:pPr>
        <w:pStyle w:val="Heading1"/>
      </w:pPr>
      <w:r>
        <w:t xml:space="preserve">2. Technology Stack</w:t>
      </w:r>
    </w:p>
    <w:p>
      <w:pPr>
        <w:spacing w:after="160"/>
      </w:pPr>
      <w:r>
        <w:t xml:space="preserve">Chosen for a solo, complete-beginner founder on a bootstrap budget, deployed on Railway with Cloudflare for domain/DNS/WAF and GitHub for version control. Every choice below favours low operational overhead, predictable AI-assisted code generation, and a pre-built admin interface over theoretical best-fit.</w:t>
      </w:r>
    </w:p>
    <w:p>
      <w:pPr>
        <w:pStyle w:val="Heading2"/>
      </w:pPr>
      <w:r>
        <w:t xml:space="preserve">2.1 Confirmed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Layer</w:t>
            </w:r>
          </w:p>
        </w:tc>
        <w:tc>
          <w:tcPr>
            <w:tcW w:type="dxa" w:w="26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Choice</w:t>
            </w:r>
          </w:p>
        </w:tc>
        <w:tc>
          <w:tcPr>
            <w:tcW w:type="dxa" w:w="496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Why</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Framework</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Laravel 11</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Highly conventional, well-documented structure — AI tools generate more reliable code in Laravel than in looser frameworks, because there's less ambiguity in how things should be organised.</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Admin Panel</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Filament 3</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Generates the application review, biography editor, payment tracking, and In Memoriam commissioning screens from simple configuration — drastically less custom UI code than hand-building an admin panel, which directly reduces both Cursor's workload and the founder's surface area to verify.</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Language</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PHP 8.3</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Laravel's native language; mature tooling, large community — easy for Cursor/Claude to generate correct code against.</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Database</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MySQL (Railway-managed)</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Laravel's most idiomatic default; Railway provides it as a one-click managed add-on with automatic backups.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ORM</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Eloquent (built into Laravel)</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No separate ORM to install or configure; migrations and models are native to the framework.</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Auth</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Laravel Socialite (Google) + custom mobile OTP step</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Socialite handles Google OAuth correctly out of the box; OTP is a simple authenticated HTTP call to MSG91/Twilio, requiring no heavy package.</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SMS OTP</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MSG91 or Twilio Verify</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Indian-market SMS deliverability is inconsistent with global providers; MSG91 is built for the Indian DLT/TRAI compliance regime.</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File storage</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Cloudflare R2 (via Laravel's S3-compatible filesystem driver)</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Profile photos, documents, QR codes — R2 has no egress fees and Laravel's Flysystem integration supports any S3-compatible endpoint natively.</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Payments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Razorpay (PHP SDK, payment links, test mode during build)</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Matches the manual-renewal decision; avoids recurring-billing webhook complexity entirely. See Section 5.</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AI drafting</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Anthropic Claude API (Sonnet), called via Laravel's HTTP client</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First-draft biography generation, reviewed and edited by the founder before publish. No SDK required — a standard HTTP POST request.</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Email</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Resend or Postmark</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Transactional email (confirmations, renewal reminders) with good deliverability; both integrate with Laravel Mail via standard SMTP or API drivers.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Hosting</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Railway</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Deploys Laravel directly from GitHub with minimal configuration; provides a managed MySQL add-on in the same project.</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DNS / CDN / WAF</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Cloudflare</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Proxied (orange-cloud) DNS works in front of Railway exactly as it did in front of Vercel — free DDoS protection, WAF managed rules, Turnstile CAPTCHA, and edge rate limiting, regardless of which host sits behind it.</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Version control</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GitHub</w:t>
            </w:r>
          </w:p>
        </w:tc>
        <w:tc>
          <w:tcPr>
            <w:tcW w:type="dxa" w:w="4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As decided — Railway deploys directly from it.</w:t>
            </w:r>
          </w:p>
        </w:tc>
      </w:tr>
    </w:tbl>
    <w:p>
      <w:pPr>
        <w:spacing w:before="200"/>
      </w:pPr>
    </w:p>
    <w:p>
      <w:pPr>
        <w:pStyle w:val="Heading2"/>
      </w:pPr>
      <w:r>
        <w:t xml:space="preserve">2.2 What Changed From v2.0,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v2.0 (Next.js Edition)</w:t>
            </w:r>
          </w:p>
        </w:tc>
        <w:tc>
          <w:tcPr>
            <w:tcW w:type="dxa" w:w="468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v3.0 (Laravel Edition)</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Next.js 15 + TypeScript</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Laravel 11 + PHP 8.3</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Custom-built admin panel (React components)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Filament — generated from configuration, far less custom UI code</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Prisma ORM</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Eloquent (built into Laravel)</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NextAuth.js (Auth.js v5)</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Laravel Socialite + custom OTP step</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PostgreSQL via Neon or Supabase</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MySQL via Railway-managed database</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Vercel hosting</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Railway hosting</w:t>
            </w:r>
          </w:p>
        </w:tc>
      </w:tr>
    </w:tbl>
    <w:p>
      <w:pPr>
        <w:spacing w:after="160"/>
      </w:pPr>
      <w:r>
        <w:rPr>
          <w:i w:val="false"/>
          <w:iCs w:val="false"/>
        </w:rPr>
        <w:t xml:space="preserve">Reason for the change, stated plainly: a beginner founder building solo with an AI coding assistant benefits most from (a) a framework whose conventions reduce ambiguity in AI-generated code, and (b) an admin-panel package that removes an entire category of custom UI work. Laravel and Filament deliver both. Nothing about the underlying business logic, pricing, content model, or security requirements changes — only the implementation language and tooling.</w:t>
      </w:r>
    </w:p>
    <w:p>
      <w:pPr>
        <w:pStyle w:val="Heading2"/>
      </w:pPr>
      <w:r>
        <w:t xml:space="preserve">2.3 What This Avoids</w:t>
      </w:r>
    </w:p>
    <w:p>
      <w:pPr>
        <w:pStyle w:val="ListParagraph"/>
        <w:numPr>
          <w:ilvl w:val="0"/>
          <w:numId w:val="2"/>
        </w:numPr>
        <w:spacing w:after="100"/>
      </w:pPr>
      <w:r>
        <w:t xml:space="preserve">No Kubernetes, no Docker orchestration, no microservices — a single Laravel monolith is the right size for this business for the next several years.</w:t>
      </w:r>
    </w:p>
    <w:p>
      <w:pPr>
        <w:pStyle w:val="ListParagraph"/>
        <w:numPr>
          <w:ilvl w:val="0"/>
          <w:numId w:val="2"/>
        </w:numPr>
        <w:spacing w:after="100"/>
      </w:pPr>
      <w:r>
        <w:t xml:space="preserve">No recurring billing infrastructure — manual annual renewal links keep Razorpay integration to a single, simple API call.</w:t>
      </w:r>
    </w:p>
    <w:p>
      <w:pPr>
        <w:pStyle w:val="ListParagraph"/>
        <w:numPr>
          <w:ilvl w:val="0"/>
          <w:numId w:val="2"/>
        </w:numPr>
        <w:spacing w:after="100"/>
      </w:pPr>
      <w:r>
        <w:t xml:space="preserve">No custom-built auth, and no custom-built admin UI — Socialite and Filament each remove an entire category of mistakes a solo, non-specialist, beginner founder could otherwise make.</w:t>
      </w:r>
    </w:p>
    <w:p>
      <w:pPr>
        <w:pStyle w:val="Heading1"/>
      </w:pPr>
      <w:r>
        <w:t xml:space="preserve">3. System Architecture Overview</w:t>
      </w:r>
    </w:p>
    <w:p>
      <w:pPr>
        <w:spacing w:after="160"/>
      </w:pPr>
      <w:r>
        <w:t xml:space="preserve">Three audiences, three distinct surfaces, one Laravel codebase:</w:t>
      </w:r>
    </w:p>
    <w:p>
      <w:pPr>
        <w:pStyle w:val="ListParagraph"/>
        <w:numPr>
          <w:ilvl w:val="0"/>
          <w:numId w:val="2"/>
        </w:numPr>
        <w:spacing w:after="100"/>
      </w:pPr>
      <w:r>
        <w:rPr>
          <w:b/>
          <w:bCs/>
        </w:rPr>
        <w:t xml:space="preserve">Public site — </w:t>
      </w:r>
      <w:r>
        <w:t xml:space="preserve">the Register, In Memoriam, Editorial Services &amp; Pricing, About, Contact, legal pages. Server-rendered Blade views, publicly cacheable, no login required to browse.</w:t>
      </w:r>
    </w:p>
    <w:p>
      <w:pPr>
        <w:pStyle w:val="ListParagraph"/>
        <w:numPr>
          <w:ilvl w:val="0"/>
          <w:numId w:val="2"/>
        </w:numPr>
        <w:spacing w:after="100"/>
      </w:pPr>
      <w:r>
        <w:rPr>
          <w:b/>
          <w:bCs/>
        </w:rPr>
        <w:t xml:space="preserve">Applicant / Member area — </w:t>
      </w:r>
      <w:r>
        <w:t xml:space="preserve">Google login + mobile OTP verification, application submission, questionnaire completion, profile review/approval, payment, and post-publication update requests.</w:t>
      </w:r>
    </w:p>
    <w:p>
      <w:pPr>
        <w:pStyle w:val="ListParagraph"/>
        <w:numPr>
          <w:ilvl w:val="0"/>
          <w:numId w:val="2"/>
        </w:numPr>
        <w:spacing w:after="100"/>
      </w:pPr>
      <w:r>
        <w:rPr>
          <w:b/>
          <w:bCs/>
        </w:rPr>
        <w:t xml:space="preserve">Admin / Editorial panel (Filament) — </w:t>
      </w:r>
      <w:r>
        <w:t xml:space="preserve">the founder's internal tool: application review, AI-assisted draft generation, editorial editing, publish/unpublish, payment tracking, In Memoriam commissioning, renewal reminders.</w:t>
      </w:r>
    </w:p>
    <w:p>
      <w:pPr>
        <w:spacing w:after="160"/>
      </w:pPr>
      <w:r>
        <w:t xml:space="preserve">All three live in the same Laravel application, gated by role-based access control (Laravel policies and middleware), not separate deployments. This keeps the GitHub repo, deployment, and Railway project singular and simple to manage — important given there is one person operating all of it.</w:t>
      </w:r>
    </w:p>
    <w:p>
      <w:pPr>
        <w:pStyle w:val="Heading2"/>
      </w:pPr>
      <w:r>
        <w:t xml:space="preserve">3.1 High-Level Data Flow</w:t>
      </w:r>
    </w:p>
    <w:p>
      <w:pPr>
        <w:pStyle w:val="ListParagraph"/>
        <w:numPr>
          <w:ilvl w:val="0"/>
          <w:numId w:val="2"/>
        </w:numPr>
        <w:spacing w:after="100"/>
      </w:pPr>
      <w:r>
        <w:t xml:space="preserve">Visitor browses the public Register / In Memoriam — no auth, server-rendered, fast.</w:t>
      </w:r>
    </w:p>
    <w:p>
      <w:pPr>
        <w:pStyle w:val="ListParagraph"/>
        <w:numPr>
          <w:ilvl w:val="0"/>
          <w:numId w:val="2"/>
        </w:numPr>
        <w:spacing w:after="100"/>
      </w:pPr>
      <w:r>
        <w:t xml:space="preserve">Applicant logs in with Google (Socialite), verifies mobile number via OTP, submits an application.</w:t>
      </w:r>
    </w:p>
    <w:p>
      <w:pPr>
        <w:pStyle w:val="ListParagraph"/>
        <w:numPr>
          <w:ilvl w:val="0"/>
          <w:numId w:val="2"/>
        </w:numPr>
        <w:spacing w:after="100"/>
      </w:pPr>
      <w:r>
        <w:t xml:space="preserve">Admin (the founder) reviews the application in Filament and approves or declines it.</w:t>
      </w:r>
    </w:p>
    <w:p>
      <w:pPr>
        <w:pStyle w:val="ListParagraph"/>
        <w:numPr>
          <w:ilvl w:val="0"/>
          <w:numId w:val="2"/>
        </w:numPr>
        <w:spacing w:after="100"/>
      </w:pPr>
      <w:r>
        <w:t xml:space="preserve">On approval, the applicant completes the package-specific questionnaire and pays the 50% upfront fee via a Razorpay payment link.</w:t>
      </w:r>
    </w:p>
    <w:p>
      <w:pPr>
        <w:pStyle w:val="ListParagraph"/>
        <w:numPr>
          <w:ilvl w:val="0"/>
          <w:numId w:val="2"/>
        </w:numPr>
        <w:spacing w:after="100"/>
      </w:pPr>
      <w:r>
        <w:t xml:space="preserve">Admin uses the Claude API (supervised) to draft the biography from questionnaire answers, then edits it personally inside Filament.</w:t>
      </w:r>
    </w:p>
    <w:p>
      <w:pPr>
        <w:pStyle w:val="ListParagraph"/>
        <w:numPr>
          <w:ilvl w:val="0"/>
          <w:numId w:val="2"/>
        </w:numPr>
        <w:spacing w:after="100"/>
      </w:pPr>
      <w:r>
        <w:t xml:space="preserve">Applicant reviews the finished profile in a preview view and explicitly approves it (timestamped).</w:t>
      </w:r>
    </w:p>
    <w:p>
      <w:pPr>
        <w:pStyle w:val="ListParagraph"/>
        <w:numPr>
          <w:ilvl w:val="0"/>
          <w:numId w:val="2"/>
        </w:numPr>
        <w:spacing w:after="100"/>
      </w:pPr>
      <w:r>
        <w:t xml:space="preserve">Admin collects the balance payment via a second Razorpay link and publishes the profile.</w:t>
      </w:r>
    </w:p>
    <w:p>
      <w:pPr>
        <w:pStyle w:val="ListParagraph"/>
        <w:numPr>
          <w:ilvl w:val="0"/>
          <w:numId w:val="2"/>
        </w:numPr>
        <w:spacing w:after="100"/>
      </w:pPr>
      <w:r>
        <w:t xml:space="preserve">Annually, admin manually sends a renewal payment link for Profile Maintenance &amp; Verification; on payment, the system extends the profile's active-until date.</w:t>
      </w:r>
    </w:p>
    <w:p>
      <w:pPr>
        <w:pStyle w:val="ListParagraph"/>
        <w:numPr>
          <w:ilvl w:val="0"/>
          <w:numId w:val="2"/>
        </w:numPr>
        <w:spacing w:after="100"/>
      </w:pPr>
      <w:r>
        <w:t xml:space="preserve">In Memoriam commissions follow a parallel flow, initiated by admin after a Contact Request from a family/institution, never via self-service application.</w:t>
      </w:r>
    </w:p>
    <w:p>
      <w:pPr>
        <w:pStyle w:val="Heading1"/>
      </w:pPr>
      <w:r>
        <w:t xml:space="preserve">4. Authentication &amp; Identity Verification</w:t>
      </w:r>
    </w:p>
    <w:p>
      <w:pPr>
        <w:pStyle w:val="Heading2"/>
      </w:pPr>
      <w:r>
        <w:t xml:space="preserve">4.1 Login Method — Confirmed</w:t>
      </w:r>
    </w:p>
    <w:p>
      <w:pPr>
        <w:spacing w:after="160"/>
      </w:pPr>
      <w:r>
        <w:t xml:space="preserve">Google OAuth as the sole login method, plus mandatory mobile OTP verification before an application can be submitted.</w:t>
      </w:r>
    </w:p>
    <w:p>
      <w:pPr>
        <w:pStyle w:val="ListParagraph"/>
        <w:numPr>
          <w:ilvl w:val="0"/>
          <w:numId w:val="2"/>
        </w:numPr>
        <w:spacing w:after="100"/>
      </w:pPr>
      <w:r>
        <w:t xml:space="preserve">Google login via Laravel Socialite — no passwords to store, reset, or leak.</w:t>
      </w:r>
    </w:p>
    <w:p>
      <w:pPr>
        <w:pStyle w:val="ListParagraph"/>
        <w:numPr>
          <w:ilvl w:val="0"/>
          <w:numId w:val="2"/>
        </w:numPr>
        <w:spacing w:after="100"/>
      </w:pPr>
      <w:r>
        <w:t xml:space="preserve">Mobile OTP (via MSG91/Twilio, called through Laravel's HTTP client) is a second, independent verification step — not a login method, but a requirement before the applicant can proceed past account creation.</w:t>
      </w:r>
    </w:p>
    <w:p>
      <w:pPr>
        <w:pStyle w:val="ListParagraph"/>
        <w:numPr>
          <w:ilvl w:val="0"/>
          <w:numId w:val="2"/>
        </w:numPr>
        <w:spacing w:after="100"/>
      </w:pPr>
      <w:r>
        <w:t xml:space="preserve">Store only the verified mobile number and a verified_at timestamp — never store OTP codes themselves beyond their short validation window.</w:t>
      </w:r>
    </w:p>
    <w:p>
      <w:pPr>
        <w:pStyle w:val="Heading2"/>
      </w:pPr>
      <w:r>
        <w:t xml:space="preserve">4.2 Why Not Email/Password</w:t>
      </w:r>
    </w:p>
    <w:p>
      <w:pPr>
        <w:spacing w:after="160"/>
      </w:pPr>
      <w:r>
        <w:t xml:space="preserve">Dropping password-based login removes credential-stuffing, password-reset abuse, and weak-password risk entirely. Google already does the identity verification work; OTP adds a local, India-specific layer Google's flow doesn't provide. Do not add email/password login without a specific, well-reasoned need.</w:t>
      </w:r>
    </w:p>
    <w:p>
      <w:pPr>
        <w:pStyle w:val="Heading2"/>
      </w:pPr>
      <w:r>
        <w:t xml:space="preserve">4.3 Roles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00"/>
        <w:gridCol w:w="7260"/>
      </w:tblGrid>
      <w:tr>
        <w:tc>
          <w:tcPr>
            <w:tcW w:type="dxa" w:w="23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Role</w:t>
            </w:r>
          </w:p>
        </w:tc>
        <w:tc>
          <w:tcPr>
            <w:tcW w:type="dxa" w:w="726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Capabilities</w:t>
            </w:r>
          </w:p>
        </w:tc>
      </w:tr>
      <w:tr>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Visitor</w:t>
            </w:r>
          </w:p>
        </w:tc>
        <w:tc>
          <w:tcPr>
            <w:tcW w:type="dxa" w:w="7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Browse public Register, In Memoriam, pricing, legal pages. No account.</w:t>
            </w:r>
          </w:p>
        </w:tc>
      </w:tr>
      <w:tr>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Applicant / Member</w:t>
            </w:r>
          </w:p>
        </w:tc>
        <w:tc>
          <w:tcPr>
            <w:tcW w:type="dxa" w:w="7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Submit application, complete questionnaire, review/approve own profile, make payments, request updates.</w:t>
            </w:r>
          </w:p>
        </w:tc>
      </w:tr>
      <w:tr>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Editor</w:t>
            </w:r>
          </w:p>
        </w:tc>
        <w:tc>
          <w:tcPr>
            <w:tcW w:type="dxa" w:w="7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Review applications, draft/edit biographies, manage In Memoriam commissions, view payments. Reserved for the founder; available to assign to a future trusted collaborator.</w:t>
            </w:r>
          </w:p>
        </w:tc>
      </w:tr>
      <w:tr>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Admin (the founder)</w:t>
            </w:r>
          </w:p>
        </w:tc>
        <w:tc>
          <w:tcPr>
            <w:tcW w:type="dxa" w:w="7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Everything Editor can do, plus user management, financial reports, system settings, ability to unpublish/remove.</w:t>
            </w:r>
          </w:p>
        </w:tc>
      </w:tr>
    </w:tbl>
    <w:p>
      <w:pPr>
        <w:pBdr>
          <w:left w:val="single" w:color="9A6B2A" w:sz="12" w:space="8"/>
        </w:pBdr>
        <w:spacing w:after="200"/>
      </w:pPr>
      <w:r>
        <w:rPr>
          <w:i/>
          <w:iCs/>
          <w:color w:val="595959"/>
          <w:sz w:val="21"/>
          <w:szCs w:val="21"/>
        </w:rPr>
        <w:t xml:space="preserve">Standing security rule: build the role check properly — Laravel middleware/policy-enforced, not just a hidden UI element in Filament — from day one. All admin/editorial actions must require an authenticated admin role check, not just login.</w:t>
      </w:r>
    </w:p>
    <w:p>
      <w:pPr>
        <w:pStyle w:val="Heading2"/>
      </w:pPr>
      <w:r>
        <w:t xml:space="preserve">4.4 Session Security</w:t>
      </w:r>
    </w:p>
    <w:p>
      <w:pPr>
        <w:pStyle w:val="ListParagraph"/>
        <w:numPr>
          <w:ilvl w:val="0"/>
          <w:numId w:val="2"/>
        </w:numPr>
        <w:spacing w:after="100"/>
      </w:pPr>
      <w:r>
        <w:t xml:space="preserve">HTTP-only, secure, SameSite=Lax session cookies — Laravel's defaults; do not override without reason.</w:t>
      </w:r>
    </w:p>
    <w:p>
      <w:pPr>
        <w:pStyle w:val="ListParagraph"/>
        <w:numPr>
          <w:ilvl w:val="0"/>
          <w:numId w:val="2"/>
        </w:numPr>
        <w:spacing w:after="100"/>
      </w:pPr>
      <w:r>
        <w:t xml:space="preserve">Session expiry and idle timeout configured explicitly, not left unreviewed.</w:t>
      </w:r>
    </w:p>
    <w:p>
      <w:pPr>
        <w:pStyle w:val="ListParagraph"/>
        <w:numPr>
          <w:ilvl w:val="0"/>
          <w:numId w:val="2"/>
        </w:numPr>
        <w:spacing w:after="100"/>
      </w:pPr>
      <w:r>
        <w:t xml:space="preserve">CSRF protection enabled — Laravel's VerifyCsrfToken middleware covers this by default for all web routes; ensure no route disables it without good reason.</w:t>
      </w:r>
    </w:p>
    <w:p>
      <w:pPr>
        <w:pStyle w:val="Heading1"/>
      </w:pPr>
      <w:r>
        <w:t xml:space="preserve">5. Payments — Razorpay (Manual / Non-Recurring)</w:t>
      </w:r>
    </w:p>
    <w:p>
      <w:pPr>
        <w:spacing w:after="160"/>
      </w:pPr>
      <w:r>
        <w:t xml:space="preserve">No auto-charge subscriptions. Every payment — editorial creation upfront, editorial creation balance, annual maintenance renewal, editorial service requests, In Memoriam commissions — is a discrete Razorpay Payment Link generated by the admin panel and sent to the applicant/member.</w:t>
      </w:r>
    </w:p>
    <w:p>
      <w:pPr>
        <w:pStyle w:val="Heading2"/>
      </w:pPr>
      <w:r>
        <w:t xml:space="preserve">5.1 Payment Events to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Event</w:t>
            </w:r>
          </w:p>
        </w:tc>
        <w:tc>
          <w:tcPr>
            <w:tcW w:type="dxa" w:w="32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Trigger</w:t>
            </w:r>
          </w:p>
        </w:tc>
        <w:tc>
          <w:tcPr>
            <w:tcW w:type="dxa" w:w="336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Amount</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Creation — Upfront (50%)</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Application approved, questionnaire submitted</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50% of package fee, inclusive of GST</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Creation — Balance (50%)</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Member approves finished profile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Remaining 50%, inclusive of GST</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Annual Maintenance Renewal</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Admin manually triggers ~30 days before expiry</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₹3,000 + GST, from year 2</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Minor Editorial Update</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Member or admin requests a small update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₹3,000 + GST</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Major Editorial Revision</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Member or admin requests a rewrite or tier upgrade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₹5,000 + GST — unified flat fee, see Part Four §2</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 Memoriam — Editorial Memorial Archive</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Family/institution commission confirmed</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₹25,000 + GST</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 Memoriam — Continuation (after 3 yrs)</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Admin manually triggers after 3-year mark</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₹3,000 + GST per year</w:t>
            </w:r>
          </w:p>
        </w:tc>
      </w:tr>
    </w:tbl>
    <w:p>
      <w:pPr>
        <w:pStyle w:val="Heading2"/>
      </w:pPr>
      <w:r>
        <w:t xml:space="preserve">5.2 Implementation Notes</w:t>
      </w:r>
    </w:p>
    <w:p>
      <w:pPr>
        <w:pStyle w:val="ListParagraph"/>
        <w:numPr>
          <w:ilvl w:val="0"/>
          <w:numId w:val="2"/>
        </w:numPr>
        <w:spacing w:after="100"/>
      </w:pPr>
      <w:r>
        <w:t xml:space="preserve">Use Razorpay's PHP SDK and the Payment Links API — generate a link server-side (a Laravel controller method) per event, store the link ID and status against the relevant Eloquent record.</w:t>
      </w:r>
    </w:p>
    <w:p>
      <w:pPr>
        <w:pStyle w:val="ListParagraph"/>
        <w:numPr>
          <w:ilvl w:val="0"/>
          <w:numId w:val="2"/>
        </w:numPr>
        <w:spacing w:after="100"/>
      </w:pPr>
      <w:r>
        <w:t xml:space="preserve">Verify all payment confirmations via Razorpay webhook signature verification in a dedicated Laravel controller — never trust a client-side “payment successful” redirect alone.</w:t>
      </w:r>
    </w:p>
    <w:p>
      <w:pPr>
        <w:pStyle w:val="ListParagraph"/>
        <w:numPr>
          <w:ilvl w:val="0"/>
          <w:numId w:val="2"/>
        </w:numPr>
        <w:spacing w:after="100"/>
      </w:pPr>
      <w:r>
        <w:t xml:space="preserve">Store Razorpay's webhook secret as a Railway environment variable, never in code, and verify the X-Razorpay-Signature header on every webhook request.</w:t>
      </w:r>
    </w:p>
    <w:p>
      <w:pPr>
        <w:pStyle w:val="ListParagraph"/>
        <w:numPr>
          <w:ilvl w:val="0"/>
          <w:numId w:val="2"/>
        </w:numPr>
        <w:spacing w:after="100"/>
      </w:pPr>
      <w:r>
        <w:t xml:space="preserve">Log every payment event (created, paid, failed, expired) in an immutable payments table via a migration — needed for audit, dispute resolution, and GST records regardless.</w:t>
      </w:r>
    </w:p>
    <w:p>
      <w:pPr>
        <w:pStyle w:val="ListParagraph"/>
        <w:numPr>
          <w:ilvl w:val="0"/>
          <w:numId w:val="2"/>
        </w:numPr>
        <w:spacing w:after="100"/>
      </w:pPr>
      <w:r>
        <w:t xml:space="preserve">Razorpay stays in test mode for the entire build — see How to Use This Document With Cursor, Step 7.3.</w:t>
      </w:r>
    </w:p>
    <w:p>
      <w:pPr>
        <w:pBdr>
          <w:left w:val="single" w:color="9A6B2A" w:sz="12" w:space="8"/>
        </w:pBdr>
        <w:spacing w:after="200"/>
      </w:pPr>
      <w:r>
        <w:rPr>
          <w:i/>
          <w:iCs/>
          <w:color w:val="595959"/>
          <w:sz w:val="21"/>
          <w:szCs w:val="21"/>
        </w:rPr>
        <w:t xml:space="preserve">Beginner caution: the webhook signature check in 5.2 is one of the few places in this entire build where a mistake is invisible until it costs money. Ask Cursor to explain exactly how the signature check works in plain language, and bring that explanation to Claude to double-check before this goes live with real payments.</w:t>
      </w:r>
    </w:p>
    <w:p>
      <w:pPr>
        <w:pStyle w:val="Heading2"/>
      </w:pPr>
      <w:r>
        <w:t xml:space="preserve">5.3 Early Bird Discount — Manual, Not a Coupon System</w:t>
      </w:r>
    </w:p>
    <w:p>
      <w:pPr>
        <w:spacing w:after="160"/>
      </w:pPr>
      <w:r>
        <w:t xml:space="preserve">A pre-launch interest list (collected via an external Google Form, not part of this build) will name up to 50 people, across all packages, eligible for a one-time 20% discount on their Editorial Profile Creation fee. Full programme terms are recorded in Part Four, Section 10. This section covers only what Cursor needs to build to support it.</w:t>
      </w:r>
    </w:p>
    <w:p>
      <w:pPr>
        <w:pStyle w:val="ListParagraph"/>
        <w:numPr>
          <w:ilvl w:val="0"/>
          <w:numId w:val="2"/>
        </w:numPr>
        <w:spacing w:after="100"/>
      </w:pPr>
      <w:r>
        <w:t xml:space="preserve">Add two fields to the Application (or User) record: early_bird_notified_at (date, set manually by admin when that person is personally notified applications are open) and a derived/checked early_bird_discount_expires_at = early_bird_notified_at + 45 days.</w:t>
      </w:r>
    </w:p>
    <w:p>
      <w:pPr>
        <w:pStyle w:val="ListParagraph"/>
        <w:numPr>
          <w:ilvl w:val="0"/>
          <w:numId w:val="2"/>
        </w:numPr>
        <w:spacing w:after="100"/>
      </w:pPr>
      <w:r>
        <w:t xml:space="preserve">No coupon code, automated percentage-off system, or Razorpay offer/discount API integration is required. Consistent with the existing manual-Payment-Links architecture (Section 5.1–5.2): when generating the Creation Upfront/Balance Razorpay links for an eligible applicant within their 45-day window, admin manually reduces the amount entered by 20% before generating the link in Filament.</w:t>
      </w:r>
    </w:p>
    <w:p>
      <w:pPr>
        <w:pStyle w:val="ListParagraph"/>
        <w:numPr>
          <w:ilvl w:val="0"/>
          <w:numId w:val="2"/>
        </w:numPr>
        <w:spacing w:after="100"/>
      </w:pPr>
      <w:r>
        <w:t xml:space="preserve">Filament's Applications resource should visibly flag eligible-and-still-within-window applicants (e.g. a badge or filtered view), so the discount isn't missed or, just as importantly, isn't mistakenly honoured after the 45-day window has lapsed.</w:t>
      </w:r>
    </w:p>
    <w:p>
      <w:pPr>
        <w:pStyle w:val="ListParagraph"/>
        <w:numPr>
          <w:ilvl w:val="0"/>
          <w:numId w:val="2"/>
        </w:numPr>
        <w:spacing w:after="100"/>
      </w:pPr>
      <w:r>
        <w:t xml:space="preserve">This eligibility list and notification tracking has nothing to do with the external Google Form itself — admin manually creates the Application records (or flags existing ones) for early-bird people as they are individually notified and choose to apply. No integration with Google Forms is required or planned.</w:t>
      </w:r>
    </w:p>
    <w:p>
      <w:pPr>
        <w:pStyle w:val="Heading1"/>
      </w:pPr>
      <w:r>
        <w:t xml:space="preserve">6. AI-Assisted Biography Drafting (Claude API)</w:t>
      </w:r>
    </w:p>
    <w:p>
      <w:pPr>
        <w:spacing w:after="160"/>
      </w:pPr>
      <w:r>
        <w:t xml:space="preserve">The Claude API generates the first draft of each biography from the applicant's questionnaire answers; the founder reviews and edits before anything reaches the applicant for approval.</w:t>
      </w:r>
    </w:p>
    <w:p>
      <w:pPr>
        <w:pStyle w:val="Heading2"/>
      </w:pPr>
      <w:r>
        <w:t xml:space="preserve">6.1 Workflow</w:t>
      </w:r>
    </w:p>
    <w:p>
      <w:pPr>
        <w:pStyle w:val="ListParagraph"/>
        <w:numPr>
          <w:ilvl w:val="0"/>
          <w:numId w:val="2"/>
        </w:numPr>
        <w:spacing w:after="100"/>
      </w:pPr>
      <w:r>
        <w:t xml:space="preserve">Applicant's questionnaire answers (structured fields) are saved to the database via Eloquent.</w:t>
      </w:r>
    </w:p>
    <w:p>
      <w:pPr>
        <w:pStyle w:val="ListParagraph"/>
        <w:numPr>
          <w:ilvl w:val="0"/>
          <w:numId w:val="2"/>
        </w:numPr>
        <w:spacing w:after="100"/>
      </w:pPr>
      <w:r>
        <w:t xml:space="preserve">Admin clicks "Generate Draft" inside the Filament admin panel for that application.</w:t>
      </w:r>
    </w:p>
    <w:p>
      <w:pPr>
        <w:pStyle w:val="ListParagraph"/>
        <w:numPr>
          <w:ilvl w:val="0"/>
          <w:numId w:val="2"/>
        </w:numPr>
        <w:spacing w:after="100"/>
      </w:pPr>
      <w:r>
        <w:t xml:space="preserve">A Laravel controller/job sends the structured answers to the Claude API (via Laravel's HTTP client) with a system prompt encoding IconsHerald's third-person editorial voice and the package's expected depth.</w:t>
      </w:r>
    </w:p>
    <w:p>
      <w:pPr>
        <w:pStyle w:val="ListParagraph"/>
        <w:numPr>
          <w:ilvl w:val="0"/>
          <w:numId w:val="2"/>
        </w:numPr>
        <w:spacing w:after="100"/>
      </w:pPr>
      <w:r>
        <w:t xml:space="preserve">The returned draft populates the biography editor inside Filament as an editable draft — never auto-published.</w:t>
      </w:r>
    </w:p>
    <w:p>
      <w:pPr>
        <w:pStyle w:val="ListParagraph"/>
        <w:numPr>
          <w:ilvl w:val="0"/>
          <w:numId w:val="2"/>
        </w:numPr>
        <w:spacing w:after="100"/>
      </w:pPr>
      <w:r>
        <w:t xml:space="preserve">Admin revises in Filament's rich-text editor, then marks the profile "Ready for Member Review."</w:t>
      </w:r>
    </w:p>
    <w:p>
      <w:pPr>
        <w:pStyle w:val="ListParagraph"/>
        <w:numPr>
          <w:ilvl w:val="0"/>
          <w:numId w:val="2"/>
        </w:numPr>
        <w:spacing w:after="100"/>
      </w:pPr>
      <w:r>
        <w:t xml:space="preserve">Applicant sees a read-only preview of their complete profile and must explicitly approve before publish.</w:t>
      </w:r>
    </w:p>
    <w:p>
      <w:pPr>
        <w:pStyle w:val="Heading2"/>
      </w:pPr>
      <w:r>
        <w:t xml:space="preserve">6.2 Implementation Notes</w:t>
      </w:r>
    </w:p>
    <w:p>
      <w:pPr>
        <w:pStyle w:val="ListParagraph"/>
        <w:numPr>
          <w:ilvl w:val="0"/>
          <w:numId w:val="2"/>
        </w:numPr>
        <w:spacing w:after="100"/>
      </w:pPr>
      <w:r>
        <w:t xml:space="preserve">Call the Claude API server-side only (a Laravel controller or queued job) — never expose the Anthropic API key to the browser.</w:t>
      </w:r>
    </w:p>
    <w:p>
      <w:pPr>
        <w:pStyle w:val="ListParagraph"/>
        <w:numPr>
          <w:ilvl w:val="0"/>
          <w:numId w:val="2"/>
        </w:numPr>
        <w:spacing w:after="100"/>
      </w:pPr>
      <w:r>
        <w:t xml:space="preserve">Keep the system prompt and package-tier instructions in a version-controlled config file (e.g. config/iconsherald.php), not hardcoded inline.</w:t>
      </w:r>
    </w:p>
    <w:p>
      <w:pPr>
        <w:pStyle w:val="ListParagraph"/>
        <w:numPr>
          <w:ilvl w:val="0"/>
          <w:numId w:val="2"/>
        </w:numPr>
        <w:spacing w:after="100"/>
      </w:pPr>
      <w:r>
        <w:t xml:space="preserve">Log token usage per generation for cost tracking.</w:t>
      </w:r>
    </w:p>
    <w:p>
      <w:pPr>
        <w:pStyle w:val="ListParagraph"/>
        <w:numPr>
          <w:ilvl w:val="0"/>
          <w:numId w:val="2"/>
        </w:numPr>
        <w:spacing w:after="100"/>
      </w:pPr>
      <w:r>
        <w:t xml:space="preserve">Store a draft_status field (ai_generated → editor_reviewed → member_approved → published) on the Profile model so there's no ambiguity about what's been human-checked — directly enforcing the Constitution's “AI assists; humans publish” principle.</w:t>
      </w:r>
    </w:p>
    <w:p>
      <w:pPr>
        <w:pStyle w:val="Heading1"/>
      </w:pPr>
      <w:r>
        <w:t xml:space="preserve">7. Content Model</w:t>
      </w:r>
    </w:p>
    <w:p>
      <w:pPr>
        <w:spacing w:after="160"/>
      </w:pPr>
      <w:r>
        <w:t xml:space="preserve">Reflecting the V9 architecture exactly: the Register (living professionals, three packages) and In Memoriam (separate division) are modelled as related but structurally distinct Eloquent models — they must never share a table in a way that makes accidental cross-contamination possible.</w:t>
      </w:r>
    </w:p>
    <w:p>
      <w:pPr>
        <w:pStyle w:val="Heading2"/>
      </w:pPr>
      <w:r>
        <w:t xml:space="preserve">7.1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60"/>
        <w:gridCol w:w="3500"/>
      </w:tblGrid>
      <w:tr>
        <w:tc>
          <w:tcPr>
            <w:tcW w:type="dxa" w:w="19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Entity</w:t>
            </w:r>
          </w:p>
        </w:tc>
        <w:tc>
          <w:tcPr>
            <w:tcW w:type="dxa" w:w="396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Key Fields</w:t>
            </w:r>
          </w:p>
        </w:tc>
        <w:tc>
          <w:tcPr>
            <w:tcW w:type="dxa" w:w="35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Notes</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User</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id, name, email, google_id, mobile, mobile_verified_at, role</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One row per logged-in person, regardless of role</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Application</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id, user_id, package_tier, profession, status, submitted_at</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status: pending → approved/declined → questionnaire_complete → in_review → member_review → published</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Profile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id, application_id, slug, bio_draft, bio_published, photos[], chips[], specialities[], published_at, expires_at</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expires_at drives the renewal-reminder dashboard; specialities[] kept separate from chips[] per the V9 Addendum's search specification</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InMemoriamProfile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id, commissioned_by, family_contact, slug, bio_draft, bio_published, archive_until (3-yr mark)</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Entirely separate table from Profile — enforces the architectural separation at the data layer, not just the UI</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Payment</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id, related_type, related_id, razorpay_link_id, amount, gst_treatment, status, paid_at</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Polymorphic relation to Application, Profile, or InMemoriamProfile</w:t>
            </w:r>
          </w:p>
        </w:tc>
      </w:tr>
      <w:tr>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EditorialService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id, profile_id (or in_memoriam_profile_id), type (minor/major), requested_at, payment_id</w:t>
            </w:r>
          </w:p>
        </w:tc>
        <w:tc>
          <w:tcPr>
            <w:tcW w:type="dxa" w:w="35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Tracks update/revision requests distinct from creation</w:t>
            </w:r>
          </w:p>
        </w:tc>
      </w:tr>
    </w:tbl>
    <w:p>
      <w:pPr>
        <w:pStyle w:val="Heading2"/>
      </w:pPr>
      <w:r>
        <w:t xml:space="preserve">7.2 Vanity URL Handling</w:t>
      </w:r>
    </w:p>
    <w:p>
      <w:pPr>
        <w:pStyle w:val="ListParagraph"/>
        <w:numPr>
          <w:ilvl w:val="0"/>
          <w:numId w:val="2"/>
        </w:numPr>
        <w:spacing w:after="100"/>
      </w:pPr>
      <w:r>
        <w:t xml:space="preserve">Slugs must be globally unique across both Profile and InMemoriamProfile — check both on submission to prevent collision.</w:t>
      </w:r>
    </w:p>
    <w:p>
      <w:pPr>
        <w:pStyle w:val="ListParagraph"/>
        <w:numPr>
          <w:ilvl w:val="0"/>
          <w:numId w:val="2"/>
        </w:numPr>
        <w:spacing w:after="100"/>
      </w:pPr>
      <w:r>
        <w:t xml:space="preserve">Reserve a list of forbidden slugs (admin, api, login, in-memoriam, apply, contact, etc.) matching the app's own route names.</w:t>
      </w:r>
    </w:p>
    <w:p>
      <w:pPr>
        <w:pStyle w:val="ListParagraph"/>
        <w:numPr>
          <w:ilvl w:val="0"/>
          <w:numId w:val="2"/>
        </w:numPr>
        <w:spacing w:after="100"/>
      </w:pPr>
      <w:r>
        <w:t xml:space="preserve">Once published, slugs should not be editable by the member directly — route any change request through admin.</w:t>
      </w:r>
    </w:p>
    <w:p>
      <w:pPr>
        <w:pStyle w:val="Heading2"/>
      </w:pPr>
      <w:r>
        <w:t xml:space="preserve">7.3 In Memoriam Remains a Path, Not a Subdomain — Confirmed</w:t>
      </w:r>
    </w:p>
    <w:p>
      <w:pPr>
        <w:spacing w:after="160"/>
      </w:pPr>
      <w:r>
        <w:t xml:space="preserve">In Memoriam is built as /in-memoriam within the single Laravel application (a route group with its own controllers and views), exactly as in the V9 demo, not as a separate subdomain. A real subdomain would mean either a second deployment to maintain or significantly more complex routing, for no operational benefit at this stage. Revisit this only if In Memoriam grows into a business large enough to justify the added complexity.</w:t>
      </w:r>
    </w:p>
    <w:p>
      <w:pPr>
        <w:pStyle w:val="Heading1"/>
      </w:pPr>
      <w:r>
        <w:t xml:space="preserve">8. Infrastructure, Hosting &amp; Security Hardening</w:t>
      </w:r>
    </w:p>
    <w:p>
      <w:pPr>
        <w:pStyle w:val="Heading2"/>
      </w:pPr>
      <w:r>
        <w:t xml:space="preserve">8.1 Cloudflare (Domain, DNS, Edge)</w:t>
      </w:r>
    </w:p>
    <w:p>
      <w:pPr>
        <w:pStyle w:val="ListParagraph"/>
        <w:numPr>
          <w:ilvl w:val="0"/>
          <w:numId w:val="2"/>
        </w:numPr>
        <w:spacing w:after="100"/>
      </w:pPr>
      <w:r>
        <w:t xml:space="preserve">DNS managed in Cloudflare, proxied (orange-clouded) for the apex domain, www, and the app/staging subdomain, pointing to Railway.</w:t>
      </w:r>
    </w:p>
    <w:p>
      <w:pPr>
        <w:pStyle w:val="ListParagraph"/>
        <w:numPr>
          <w:ilvl w:val="0"/>
          <w:numId w:val="2"/>
        </w:numPr>
        <w:spacing w:after="100"/>
      </w:pPr>
      <w:r>
        <w:t xml:space="preserve">Enable Cloudflare's free-tier WAF managed rules and “Bot Fight Mode” to absorb basic scraping/credential-stuffing attempts before they reach the app.</w:t>
      </w:r>
    </w:p>
    <w:p>
      <w:pPr>
        <w:pStyle w:val="ListParagraph"/>
        <w:numPr>
          <w:ilvl w:val="0"/>
          <w:numId w:val="2"/>
        </w:numPr>
        <w:spacing w:after="100"/>
      </w:pPr>
      <w:r>
        <w:t xml:space="preserve">Enable Cloudflare Turnstile (a free, privacy-friendly CAPTCHA alternative) on the application form, contact form, and any other public form that submits data.</w:t>
      </w:r>
    </w:p>
    <w:p>
      <w:pPr>
        <w:pStyle w:val="ListParagraph"/>
        <w:numPr>
          <w:ilvl w:val="0"/>
          <w:numId w:val="2"/>
        </w:numPr>
        <w:spacing w:after="100"/>
      </w:pPr>
      <w:r>
        <w:t xml:space="preserve">Set Cloudflare SSL/TLS mode to Full (Strict) — never Flexible — so traffic is encrypted Cloudflare-to-Railway as well as visitor-to-Cloudflare.</w:t>
      </w:r>
    </w:p>
    <w:p>
      <w:pPr>
        <w:pStyle w:val="ListParagraph"/>
        <w:numPr>
          <w:ilvl w:val="0"/>
          <w:numId w:val="2"/>
        </w:numPr>
        <w:spacing w:after="100"/>
      </w:pPr>
      <w:r>
        <w:t xml:space="preserve">Configure rate limiting rules in Cloudflare for sensitive routes: /login*, /otp*, /payments* — a handful of requests per minute per IP stops brute-force OTP guessing without affecting real users.</w:t>
      </w:r>
    </w:p>
    <w:p>
      <w:pPr>
        <w:pStyle w:val="ListParagraph"/>
        <w:numPr>
          <w:ilvl w:val="0"/>
          <w:numId w:val="2"/>
        </w:numPr>
        <w:spacing w:after="100"/>
      </w:pPr>
      <w:r>
        <w:t xml:space="preserve">Use Cloudflare Cache Rules to cache public Register/In Memoriam profile pages at the edge, since they change infrequently.</w:t>
      </w:r>
    </w:p>
    <w:p>
      <w:pPr>
        <w:pStyle w:val="Heading2"/>
      </w:pPr>
      <w:r>
        <w:t xml:space="preserve">8.2 Railway (Hosting)</w:t>
      </w:r>
    </w:p>
    <w:p>
      <w:pPr>
        <w:pStyle w:val="ListParagraph"/>
        <w:numPr>
          <w:ilvl w:val="0"/>
          <w:numId w:val="2"/>
        </w:numPr>
        <w:spacing w:after="100"/>
      </w:pPr>
      <w:r>
        <w:t xml:space="preserve">Separate staging and production environments within the Railway project — see How to Use This Document With Cursor, Step 7.1, for the app.iconsherald.com staging setup.</w:t>
      </w:r>
    </w:p>
    <w:p>
      <w:pPr>
        <w:pStyle w:val="ListParagraph"/>
        <w:numPr>
          <w:ilvl w:val="0"/>
          <w:numId w:val="2"/>
        </w:numPr>
        <w:spacing w:after="100"/>
      </w:pPr>
      <w:r>
        <w:t xml:space="preserve">Store all secrets (database credentials, Google OAuth client secret, Razorpay key/secret, MSG91/Twilio credentials, Anthropic API key) as Railway environment variables — never committed to GitHub.</w:t>
      </w:r>
    </w:p>
    <w:p>
      <w:pPr>
        <w:pStyle w:val="ListParagraph"/>
        <w:numPr>
          <w:ilvl w:val="0"/>
          <w:numId w:val="2"/>
        </w:numPr>
        <w:spacing w:after="100"/>
      </w:pPr>
      <w:r>
        <w:t xml:space="preserve">Review Railway's platform security documentation periodically; unlike an all-in-one platform, Railway expects WAF/bot protection to come from the edge layer — which Cloudflare already provides in front of it.</w:t>
      </w:r>
    </w:p>
    <w:p>
      <w:pPr>
        <w:pStyle w:val="Heading2"/>
      </w:pPr>
      <w:r>
        <w:t xml:space="preserve">8.3 GitHub (Version Control)</w:t>
      </w:r>
    </w:p>
    <w:p>
      <w:pPr>
        <w:pStyle w:val="ListParagraph"/>
        <w:numPr>
          <w:ilvl w:val="0"/>
          <w:numId w:val="2"/>
        </w:numPr>
        <w:spacing w:after="100"/>
      </w:pPr>
      <w:r>
        <w:t xml:space="preserve">Protect the main branch: require pull requests rather than direct pushes, even working solo — a deliberate review step before anything reaches the live codebase.</w:t>
      </w:r>
    </w:p>
    <w:p>
      <w:pPr>
        <w:pStyle w:val="ListParagraph"/>
        <w:numPr>
          <w:ilvl w:val="0"/>
          <w:numId w:val="2"/>
        </w:numPr>
        <w:spacing w:after="100"/>
      </w:pPr>
      <w:r>
        <w:t xml:space="preserve">Enable GitHub's secret scanning and push protection so an accidentally committed API key is caught before it reaches the remote repo.</w:t>
      </w:r>
    </w:p>
    <w:p>
      <w:pPr>
        <w:pStyle w:val="ListParagraph"/>
        <w:numPr>
          <w:ilvl w:val="0"/>
          <w:numId w:val="2"/>
        </w:numPr>
        <w:spacing w:after="100"/>
      </w:pPr>
      <w:r>
        <w:t xml:space="preserve">Keep a .env.example file in the repo documenting every required environment variable name (without values).</w:t>
      </w:r>
    </w:p>
    <w:p>
      <w:pPr>
        <w:pStyle w:val="Heading2"/>
      </w:pPr>
      <w:r>
        <w:t xml:space="preserve">8.4 Database Security</w:t>
      </w:r>
    </w:p>
    <w:p>
      <w:pPr>
        <w:pStyle w:val="ListParagraph"/>
        <w:numPr>
          <w:ilvl w:val="0"/>
          <w:numId w:val="2"/>
        </w:numPr>
        <w:spacing w:after="100"/>
      </w:pPr>
      <w:r>
        <w:t xml:space="preserve">Use Railway's managed MySQL connection pooling and enable automatic daily backups; periodically verify you can actually restore from one — an untested backup is not a backup.</w:t>
      </w:r>
    </w:p>
    <w:p>
      <w:pPr>
        <w:pStyle w:val="ListParagraph"/>
        <w:numPr>
          <w:ilvl w:val="0"/>
          <w:numId w:val="2"/>
        </w:numPr>
        <w:spacing w:after="100"/>
      </w:pPr>
      <w:r>
        <w:t xml:space="preserve">Apply the principle of least privilege: the application's database user should only have the permissions it needs.</w:t>
      </w:r>
    </w:p>
    <w:p>
      <w:pPr>
        <w:pStyle w:val="ListParagraph"/>
        <w:numPr>
          <w:ilvl w:val="0"/>
          <w:numId w:val="2"/>
        </w:numPr>
        <w:spacing w:after="100"/>
      </w:pPr>
      <w:r>
        <w:t xml:space="preserve">Never log full request bodies that might contain personal data (mobile numbers, payment details) to third-party logging services without review.</w:t>
      </w:r>
    </w:p>
    <w:p>
      <w:pPr>
        <w:pStyle w:val="Heading2"/>
      </w:pPr>
      <w:r>
        <w:t xml:space="preserve">8.5 General Application Security Checklist (Standing Rules for Cursor)</w:t>
      </w:r>
    </w:p>
    <w:p>
      <w:pPr>
        <w:spacing w:after="160"/>
      </w:pPr>
      <w:r>
        <w:t xml:space="preserve">These are standing instructions that apply across the entire build, not just one phase — give them to Cursor up front, before Phase 1 begins:</w:t>
      </w:r>
    </w:p>
    <w:p>
      <w:pPr>
        <w:pBdr>
          <w:left w:val="single" w:color="9A6B2A" w:sz="12" w:space="8"/>
        </w:pBdr>
        <w:spacing w:after="200"/>
      </w:pPr>
      <w:r>
        <w:rPr>
          <w:i/>
          <w:iCs/>
          <w:color w:val="595959"/>
          <w:sz w:val="21"/>
          <w:szCs w:val="21"/>
        </w:rPr>
        <w:t xml:space="preserve">"All admin/editorial actions must require an authenticated admin role check, not just login. Store all API keys and secrets in environment variables, never in frontend code or committed to git. Enable Laravel’s built-in rate limiting (the throttle middleware) on login and OTP endpoints. Use Laravel’s CSRF protection and validate all form inputs server-side using Form Request classes. Keep Razorpay in test mode throughout the build, per Section 5.2."</w:t>
      </w:r>
    </w:p>
    <w:p>
      <w:pPr>
        <w:pStyle w:val="ListParagraph"/>
        <w:numPr>
          <w:ilvl w:val="0"/>
          <w:numId w:val="2"/>
        </w:numPr>
        <w:spacing w:after="100"/>
      </w:pPr>
      <w:r>
        <w:t xml:space="preserve">Input validation via Laravel Form Request classes on every form — server-side validation is the one that actually matters for security.</w:t>
      </w:r>
    </w:p>
    <w:p>
      <w:pPr>
        <w:pStyle w:val="ListParagraph"/>
        <w:numPr>
          <w:ilvl w:val="0"/>
          <w:numId w:val="2"/>
        </w:numPr>
        <w:spacing w:after="100"/>
      </w:pPr>
      <w:r>
        <w:t xml:space="preserve">Output encoding to prevent XSS — Blade escapes by default with {{ }}; the one risk area is {!! !!} (e.g. rendering admin-edited biography rich text) — sanitise with a library before rendering unescaped HTML.</w:t>
      </w:r>
    </w:p>
    <w:p>
      <w:pPr>
        <w:pStyle w:val="ListParagraph"/>
        <w:numPr>
          <w:ilvl w:val="0"/>
          <w:numId w:val="2"/>
        </w:numPr>
        <w:spacing w:after="100"/>
      </w:pPr>
      <w:r>
        <w:t xml:space="preserve">Parameterised queries throughout — Eloquent does this by default; avoid raw SQL string concatenation.</w:t>
      </w:r>
    </w:p>
    <w:p>
      <w:pPr>
        <w:pStyle w:val="ListParagraph"/>
        <w:numPr>
          <w:ilvl w:val="0"/>
          <w:numId w:val="2"/>
        </w:numPr>
        <w:spacing w:after="100"/>
      </w:pPr>
      <w:r>
        <w:t xml:space="preserve">File upload validation: restrict accepted file types and sizes for photo/document uploads via Laravel's validation rules, and re-encode images server-side rather than trusting the uploaded file's claimed type.</w:t>
      </w:r>
    </w:p>
    <w:p>
      <w:pPr>
        <w:pStyle w:val="ListParagraph"/>
        <w:numPr>
          <w:ilvl w:val="0"/>
          <w:numId w:val="2"/>
        </w:numPr>
        <w:spacing w:after="100"/>
      </w:pPr>
      <w:r>
        <w:t xml:space="preserve">Set standard security headers (Content-Security-Policy, X-Frame-Options, X-Content-Type-Options, Strict-Transport-Security) via Laravel middleware.</w:t>
      </w:r>
    </w:p>
    <w:p>
      <w:pPr>
        <w:pStyle w:val="ListParagraph"/>
        <w:numPr>
          <w:ilvl w:val="0"/>
          <w:numId w:val="2"/>
        </w:numPr>
        <w:spacing w:after="100"/>
      </w:pPr>
      <w:r>
        <w:t xml:space="preserve">Set up uptime and error monitoring (Railway's built-in logs plus a free tier of Sentry or similar).</w:t>
      </w:r>
    </w:p>
    <w:p>
      <w:pPr>
        <w:pStyle w:val="ListParagraph"/>
        <w:numPr>
          <w:ilvl w:val="0"/>
          <w:numId w:val="2"/>
        </w:numPr>
        <w:spacing w:after="100"/>
      </w:pPr>
      <w:r>
        <w:t xml:space="preserve">Conduct a basic security review before public launch, and again after any major feature addition — particularly around the payment and auth flows.</w:t>
      </w:r>
    </w:p>
    <w:p>
      <w:pPr>
        <w:pStyle w:val="Heading1"/>
      </w:pPr>
      <w:r>
        <w:t xml:space="preserve">9. Admin / Editorial Panel — Built With Filament</w:t>
      </w:r>
    </w:p>
    <w:p>
      <w:pPr>
        <w:spacing w:after="160"/>
      </w:pPr>
      <w:r>
        <w:t xml:space="preserve">This is the tool you will live in daily, alone. Filament generates most of the screens below directly from your Eloquent models and a small amount of configuration — far less custom code than a hand-built admin panel would require, which is precisely why this stack was chosen.</w:t>
      </w:r>
    </w:p>
    <w:p>
      <w:pPr>
        <w:pStyle w:val="Heading2"/>
      </w:pPr>
      <w:r>
        <w:t xml:space="preserve">9.1 Required Filament Resources &amp; Pages</w:t>
      </w:r>
    </w:p>
    <w:p>
      <w:pPr>
        <w:pStyle w:val="ListParagraph"/>
        <w:numPr>
          <w:ilvl w:val="0"/>
          <w:numId w:val="2"/>
        </w:numPr>
        <w:spacing w:after="100"/>
      </w:pPr>
      <w:r>
        <w:t xml:space="preserve">Dashboard — pending applications, profiles awaiting member approval, profiles expiring within 45 days, recent payments (a Filament widget page).</w:t>
      </w:r>
    </w:p>
    <w:p>
      <w:pPr>
        <w:pStyle w:val="ListParagraph"/>
        <w:numPr>
          <w:ilvl w:val="0"/>
          <w:numId w:val="2"/>
        </w:numPr>
        <w:spacing w:after="100"/>
      </w:pPr>
      <w:r>
        <w:t xml:space="preserve">Applications resource — list with filters by status/package/profession; detail view to approve/decline with a reason.</w:t>
      </w:r>
    </w:p>
    <w:p>
      <w:pPr>
        <w:pStyle w:val="ListParagraph"/>
        <w:numPr>
          <w:ilvl w:val="0"/>
          <w:numId w:val="2"/>
        </w:numPr>
        <w:spacing w:after="100"/>
      </w:pPr>
      <w:r>
        <w:t xml:space="preserve">Questionnaire Review — a Filament relation manager or custom page to read submitted answers per application before drafting.</w:t>
      </w:r>
    </w:p>
    <w:p>
      <w:pPr>
        <w:pStyle w:val="ListParagraph"/>
        <w:numPr>
          <w:ilvl w:val="0"/>
          <w:numId w:val="2"/>
        </w:numPr>
        <w:spacing w:after="100"/>
      </w:pPr>
      <w:r>
        <w:t xml:space="preserve">Biography Editor — a Filament page with a “Generate Draft” action (Claude API call), rich-text editing, photo upload and gallery ordering, achievement timeline builder.</w:t>
      </w:r>
    </w:p>
    <w:p>
      <w:pPr>
        <w:pStyle w:val="ListParagraph"/>
        <w:numPr>
          <w:ilvl w:val="0"/>
          <w:numId w:val="2"/>
        </w:numPr>
        <w:spacing w:after="100"/>
      </w:pPr>
      <w:r>
        <w:t xml:space="preserve">Member Approval Tracker — shows draft status and whether the member has approved yet.</w:t>
      </w:r>
    </w:p>
    <w:p>
      <w:pPr>
        <w:pStyle w:val="ListParagraph"/>
        <w:numPr>
          <w:ilvl w:val="0"/>
          <w:numId w:val="2"/>
        </w:numPr>
        <w:spacing w:after="100"/>
      </w:pPr>
      <w:r>
        <w:t xml:space="preserve">Publish Control — an explicit publish/unpublish Filament action, separate from saving edits.</w:t>
      </w:r>
    </w:p>
    <w:p>
      <w:pPr>
        <w:pStyle w:val="ListParagraph"/>
        <w:numPr>
          <w:ilvl w:val="0"/>
          <w:numId w:val="2"/>
        </w:numPr>
        <w:spacing w:after="100"/>
      </w:pPr>
      <w:r>
        <w:t xml:space="preserve">Payments resource — list of all payment links generated, status, a one-click “send renewal link” action for expiring profiles.</w:t>
      </w:r>
    </w:p>
    <w:p>
      <w:pPr>
        <w:pStyle w:val="ListParagraph"/>
        <w:numPr>
          <w:ilvl w:val="0"/>
          <w:numId w:val="2"/>
        </w:numPr>
        <w:spacing w:after="100"/>
      </w:pPr>
      <w:r>
        <w:t xml:space="preserve">In Memoriam Commissions resource — a separate queue, since these are admin-initiated rather than self-service applications.</w:t>
      </w:r>
    </w:p>
    <w:p>
      <w:pPr>
        <w:pStyle w:val="ListParagraph"/>
        <w:numPr>
          <w:ilvl w:val="0"/>
          <w:numId w:val="2"/>
        </w:numPr>
        <w:spacing w:after="100"/>
      </w:pPr>
      <w:r>
        <w:t xml:space="preserve">Editorial Services Queue — minor/major update requests, separate from new applications.</w:t>
      </w:r>
    </w:p>
    <w:p>
      <w:pPr>
        <w:pStyle w:val="ListParagraph"/>
        <w:numPr>
          <w:ilvl w:val="0"/>
          <w:numId w:val="2"/>
        </w:numPr>
        <w:spacing w:after="100"/>
      </w:pPr>
      <w:r>
        <w:t xml:space="preserve">Users resource — view/search registered users, role assignment.</w:t>
      </w:r>
    </w:p>
    <w:p>
      <w:pPr>
        <w:pStyle w:val="ListParagraph"/>
        <w:numPr>
          <w:ilvl w:val="0"/>
          <w:numId w:val="2"/>
        </w:numPr>
        <w:spacing w:after="100"/>
      </w:pPr>
      <w:r>
        <w:t xml:space="preserve">Financial export — a Filament action that generates a CSV export of payments for a given period.</w:t>
      </w:r>
    </w:p>
    <w:p>
      <w:pPr>
        <w:pStyle w:val="Heading1"/>
      </w:pPr>
      <w:r>
        <w:t xml:space="preserve">10. Public Site — Pages to Rebuild from V9</w:t>
      </w:r>
    </w:p>
    <w:p>
      <w:pPr>
        <w:spacing w:after="160"/>
      </w:pPr>
      <w:r>
        <w:t xml:space="preserve">Every page below already exists in the V9 demo with final copy and pricing. The task in Cursor is to rebuild each as a real Laravel route + Blade view backed by the database, not to redesign or rewrite the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Route</w:t>
            </w:r>
          </w:p>
        </w:tc>
        <w:tc>
          <w:tcPr>
            <w:tcW w:type="dxa" w:w="36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Source of Truth</w:t>
            </w:r>
          </w:p>
        </w:tc>
        <w:tc>
          <w:tcPr>
            <w:tcW w:type="dxa" w:w="336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Data-Driven?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homepage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Featured profiles pulled from DB, not hardcoded</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/register</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directory page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Yes — paginated, filterable by profession, with the single-search-box specification from the V9 Addendum</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/register/{slug}</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profile template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Yes — one Blade template, populated per Profile row</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/in-memoriam</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In Memoriam landing page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Yes — list of published InMemoriamProfile records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/in-memoriam/{slug}</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memorial profile template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Yes — one Blade template, populated per InMemoriamProfile row</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/membership</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Editorial Services &amp; Pricing</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Mostly static copy; pricing constants in one config file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/apply</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apply page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Form submits to a real Application controller, no longer simulated</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/questionnaires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questionnaire reference page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Static copy, can stay close to as-is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/about, /contact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as-is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Contact form submits to a real email/DB-backed inbox</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/terms, /privacy, /refunds, /grievance, /disclaimer</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V9 legal pages as-is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Static — have a lawyer give these a final pass before launch regardless of how thorough the draft is</w:t>
            </w:r>
          </w:p>
        </w:tc>
      </w:tr>
    </w:tbl>
    <w:p>
      <w:pPr>
        <w:spacing w:after="160"/>
      </w:pPr>
      <w:r>
        <w:t xml:space="preserve">Recommendation: keep all pricing figures in one shared config file (e.g. config/pricing.php) imported everywhere they're displayed — homepage, pricing page, FAQ, apply form, invoices. This is the single most common source of “the website says one price and the invoice says another” bugs.</w:t>
      </w:r>
    </w:p>
    <w:p>
      <w:pPr>
        <w:pStyle w:val="Heading1"/>
      </w:pPr>
      <w:r>
        <w:t xml:space="preserve">11. Build Phases — What Goes Live First</w:t>
      </w:r>
    </w:p>
    <w:p>
      <w:pPr>
        <w:spacing w:after="160"/>
      </w:pPr>
      <w:r>
        <w:t xml:space="preserve">Given a bootstrap budget and a complete-beginner founder, sequencing matters more than speed, and timelines should be treated as rough guidance, not commitments.</w:t>
      </w:r>
    </w:p>
    <w:p>
      <w:pPr>
        <w:pStyle w:val="Heading2"/>
      </w:pPr>
      <w:r>
        <w:t xml:space="preserve">Phase 1 — Foundation (current phase)</w:t>
      </w:r>
    </w:p>
    <w:p>
      <w:pPr>
        <w:pStyle w:val="ListParagraph"/>
        <w:numPr>
          <w:ilvl w:val="0"/>
          <w:numId w:val="2"/>
        </w:numPr>
        <w:spacing w:after="100"/>
      </w:pPr>
      <w:r>
        <w:t xml:space="preserve">Laravel + Filament project scaffold, GitHub repo, Railway project with managed MySQL, Cloudflare DNS pointed at the staging subdomain (Step 7.1).</w:t>
      </w:r>
    </w:p>
    <w:p>
      <w:pPr>
        <w:pStyle w:val="ListParagraph"/>
        <w:numPr>
          <w:ilvl w:val="0"/>
          <w:numId w:val="2"/>
        </w:numPr>
        <w:spacing w:after="100"/>
      </w:pPr>
      <w:r>
        <w:t xml:space="preserve">Database schema (Eloquent migrations) for User, Application, Profile, InMemoriamProfile, Payment.</w:t>
      </w:r>
    </w:p>
    <w:p>
      <w:pPr>
        <w:pStyle w:val="ListParagraph"/>
        <w:numPr>
          <w:ilvl w:val="0"/>
          <w:numId w:val="2"/>
        </w:numPr>
        <w:spacing w:after="100"/>
      </w:pPr>
      <w:r>
        <w:t xml:space="preserve">Google login (Socialite) + mobile OTP verification working end-to-end.</w:t>
      </w:r>
    </w:p>
    <w:p>
      <w:pPr>
        <w:pBdr>
          <w:left w:val="single" w:color="9A6B2A" w:sz="12" w:space="8"/>
        </w:pBdr>
        <w:spacing w:after="200"/>
      </w:pPr>
      <w:r>
        <w:rPr>
          <w:i/>
          <w:iCs/>
          <w:color w:val="595959"/>
          <w:sz w:val="21"/>
          <w:szCs w:val="21"/>
        </w:rPr>
        <w:t xml:space="preserve">This document scopes Phase 1 to scaffold, database schema, and authentication only — nothing else. Do not let Cursor begin Phase 2 work inside a "Phase 1" conversation, even if it offers to.</w:t>
      </w:r>
    </w:p>
    <w:p>
      <w:pPr>
        <w:pStyle w:val="Heading2"/>
      </w:pPr>
      <w:r>
        <w:t xml:space="preserve">Phase 2 — Public Site</w:t>
      </w:r>
    </w:p>
    <w:p>
      <w:pPr>
        <w:pStyle w:val="ListParagraph"/>
        <w:numPr>
          <w:ilvl w:val="0"/>
          <w:numId w:val="2"/>
        </w:numPr>
        <w:spacing w:after="100"/>
      </w:pPr>
      <w:r>
        <w:t xml:space="preserve">Rebuild all public pages from V9 as real Laravel routes/Blade views, wired to the database where applicable, with the homepage and Register working against seeded test data.</w:t>
      </w:r>
    </w:p>
    <w:p>
      <w:pPr>
        <w:pStyle w:val="Heading2"/>
      </w:pPr>
      <w:r>
        <w:t xml:space="preserve">Phase 3 — Application &amp; Payment Flow</w:t>
      </w:r>
    </w:p>
    <w:p>
      <w:pPr>
        <w:pStyle w:val="ListParagraph"/>
        <w:numPr>
          <w:ilvl w:val="0"/>
          <w:numId w:val="2"/>
        </w:numPr>
        <w:spacing w:after="100"/>
      </w:pPr>
      <w:r>
        <w:t xml:space="preserve">Apply form → Application record → admin approval (Filament) → questionnaire → Razorpay upfront payment (test mode) → admin notified.</w:t>
      </w:r>
    </w:p>
    <w:p>
      <w:pPr>
        <w:pStyle w:val="ListParagraph"/>
        <w:numPr>
          <w:ilvl w:val="0"/>
          <w:numId w:val="2"/>
        </w:numPr>
        <w:spacing w:after="100"/>
      </w:pPr>
      <w:r>
        <w:t xml:space="preserve">Razorpay webhook handling and payment status tracking.</w:t>
      </w:r>
    </w:p>
    <w:p>
      <w:pPr>
        <w:pStyle w:val="Heading2"/>
      </w:pPr>
      <w:r>
        <w:t xml:space="preserve">Phase 4 — Editorial Workflow</w:t>
      </w:r>
    </w:p>
    <w:p>
      <w:pPr>
        <w:pStyle w:val="ListParagraph"/>
        <w:numPr>
          <w:ilvl w:val="0"/>
          <w:numId w:val="2"/>
        </w:numPr>
        <w:spacing w:after="100"/>
      </w:pPr>
      <w:r>
        <w:t xml:space="preserve">Filament biography editor, Claude API draft generation, member review/approval screen, publish control.</w:t>
      </w:r>
    </w:p>
    <w:p>
      <w:pPr>
        <w:pStyle w:val="Heading2"/>
      </w:pPr>
      <w:r>
        <w:t xml:space="preserve">Phase 5 — In Memoriam &amp; Editorial Services</w:t>
      </w:r>
    </w:p>
    <w:p>
      <w:pPr>
        <w:pStyle w:val="ListParagraph"/>
        <w:numPr>
          <w:ilvl w:val="0"/>
          <w:numId w:val="2"/>
        </w:numPr>
        <w:spacing w:after="100"/>
      </w:pPr>
      <w:r>
        <w:t xml:space="preserve">In Memoriam commissioning flow (admin-initiated), editorial update/revision request flow and payment links.</w:t>
      </w:r>
    </w:p>
    <w:p>
      <w:pPr>
        <w:pStyle w:val="Heading2"/>
      </w:pPr>
      <w:r>
        <w:t xml:space="preserve">Phase 6 — Hardening &amp; Launch</w:t>
      </w:r>
    </w:p>
    <w:p>
      <w:pPr>
        <w:pStyle w:val="ListParagraph"/>
        <w:numPr>
          <w:ilvl w:val="0"/>
          <w:numId w:val="2"/>
        </w:numPr>
        <w:spacing w:after="100"/>
      </w:pPr>
      <w:r>
        <w:t xml:space="preserve">Security headers, rate limiting, Cloudflare Turnstile on public forms, backup verification, monitoring/alerting, legal page sign-off, DNS cutover from staging to the live domain (Step 7.4), Razorpay switched from test to live keys, soft launch with existing warm leads before any public marketing push.</w:t>
      </w:r>
    </w:p>
    <w:p>
      <w:pPr>
        <w:pBdr>
          <w:left w:val="single" w:color="9A6B2A" w:sz="12" w:space="8"/>
        </w:pBdr>
        <w:spacing w:after="200"/>
      </w:pPr>
      <w:r>
        <w:rPr>
          <w:i/>
          <w:iCs/>
          <w:color w:val="595959"/>
          <w:sz w:val="21"/>
          <w:szCs w:val="21"/>
        </w:rPr>
        <w:t xml:space="preserve">This phasing tracks the founder's own “ten paying clients before platform” instinct — the platform should follow proof of editorial demand, not precede it. Part Three exists specifically so that instinct isn't quietly overridden by an ever-growing feature list before Phase 6 is even reached.</w:t>
      </w:r>
    </w:p>
    <w:p>
      <w:pPr>
        <w:pStyle w:val="Heading1"/>
      </w:pPr>
      <w:r>
        <w:t xml:space="preserve">12. Open Questions to Settle Before Build Starts</w:t>
      </w:r>
    </w:p>
    <w:p>
      <w:pPr>
        <w:pStyle w:val="ListParagraph"/>
        <w:numPr>
          <w:ilvl w:val="0"/>
          <w:numId w:val="2"/>
        </w:numPr>
        <w:spacing w:after="100"/>
      </w:pPr>
      <w:r>
        <w:t xml:space="preserve">Database — MySQL via Railway's managed add-on is the default recommendation; confirm with Cursor before Phase 1 migrations are written.</w:t>
      </w:r>
    </w:p>
    <w:p>
      <w:pPr>
        <w:pStyle w:val="ListParagraph"/>
        <w:numPr>
          <w:ilvl w:val="0"/>
          <w:numId w:val="2"/>
        </w:numPr>
        <w:spacing w:after="100"/>
      </w:pPr>
      <w:r>
        <w:t xml:space="preserve">SMS OTP provider — MSG91 requires DLT template registration for India, which has lead time; start this registration early since it can take days to clear, independent of development progress.</w:t>
      </w:r>
    </w:p>
    <w:p>
      <w:pPr>
        <w:pStyle w:val="ListParagraph"/>
        <w:numPr>
          <w:ilvl w:val="0"/>
          <w:numId w:val="2"/>
        </w:numPr>
        <w:spacing w:after="100"/>
      </w:pPr>
      <w:r>
        <w:t xml:space="preserve">Who holds the Razorpay merchant account — Oreon Dynamics Pvt Ltd once incorporated, or an interim individual/MSME account until incorporation completes? Live keys are not relevant until Phase 6 regardless.</w:t>
      </w:r>
    </w:p>
    <w:p>
      <w:pPr>
        <w:pStyle w:val="ListParagraph"/>
        <w:numPr>
          <w:ilvl w:val="0"/>
          <w:numId w:val="2"/>
        </w:numPr>
        <w:spacing w:after="100"/>
      </w:pPr>
      <w:r>
        <w:t xml:space="preserve">Email sender domain — confirm iconsherald.com DNS will carry SPF/DKIM/DMARC records for transactional email deliverability (Resend/Postmark will provide the records to add in Cloudflare).</w:t>
      </w:r>
    </w:p>
    <w:p>
      <w:pPr>
        <w:pStyle w:val="ListParagraph"/>
        <w:numPr>
          <w:ilvl w:val="0"/>
          <w:numId w:val="2"/>
        </w:numPr>
        <w:spacing w:after="100"/>
      </w:pPr>
      <w:r>
        <w:t xml:space="preserve">Solo-operation contingency — who, if anyone, should have emergency access credentials documented somewhere safe in case the founder is unavailable and a critical issue needs urgent attention?</w:t>
      </w:r>
    </w:p>
    <w:p>
      <w:pPr>
        <w:pBdr>
          <w:bottom w:val="single" w:color="9A6B2A" w:sz="6" w:space="1"/>
        </w:pBdr>
        <w:spacing w:after="300" w:before="100"/>
      </w:pPr>
      <w:r>
        <w:t xml:space="preserve"/>
      </w:r>
    </w:p>
    <w:p>
      <w:r>
        <w:br w:type="page"/>
      </w:r>
    </w:p>
    <w:p>
      <w:pPr>
        <w:spacing w:after="100"/>
        <w:jc w:val="center"/>
      </w:pPr>
      <w:r>
        <w:rPr>
          <w:b/>
          <w:bCs/>
          <w:color w:val="9A6B2A"/>
          <w:sz w:val="28"/>
          <w:szCs w:val="28"/>
        </w:rPr>
        <w:t xml:space="preserve">PART THREE</w:t>
      </w:r>
    </w:p>
    <w:p>
      <w:pPr>
        <w:spacing w:after="100"/>
        <w:jc w:val="center"/>
      </w:pPr>
      <w:r>
        <w:rPr>
          <w:b/>
          <w:bCs/>
          <w:sz w:val="32"/>
          <w:szCs w:val="32"/>
        </w:rPr>
        <w:t xml:space="preserve">Post-Launch Expansion Roadmap</w:t>
      </w:r>
    </w:p>
    <w:p>
      <w:pPr>
        <w:spacing w:after="400"/>
        <w:jc w:val="center"/>
      </w:pPr>
      <w:r>
        <w:rPr>
          <w:i/>
          <w:iCs/>
        </w:rPr>
        <w:t xml:space="preserve">(Phase 7 and beyond — do not build before going live)</w:t>
      </w:r>
    </w:p>
    <w:p>
      <w:pPr>
        <w:pStyle w:val="Heading1"/>
      </w:pPr>
      <w:r>
        <w:t xml:space="preserve">13. Why This Part Exists, and Why It Comes After Launch</w:t>
      </w:r>
    </w:p>
    <w:p>
      <w:pPr>
        <w:spacing w:after="160"/>
      </w:pPr>
      <w:r>
        <w:t xml:space="preserve">Everything in this part is genuine and valuable — a set of ideas for where IconsHerald can grow. None of it is wrong. All of it is deferred, deliberately: every item below is new, unscoped build work that was not part of the original phased plan in Part Two, Section 11, and building any of it before launch would directly work against the founder's own stated instinct — that the platform should follow proof of editorial demand, not precede it.</w:t>
      </w:r>
    </w:p>
    <w:p>
      <w:pPr>
        <w:pBdr>
          <w:left w:val="single" w:color="9A6B2A" w:sz="12" w:space="8"/>
        </w:pBdr>
        <w:spacing w:after="200"/>
      </w:pPr>
      <w:r>
        <w:rPr>
          <w:i/>
          <w:iCs/>
          <w:color w:val="595959"/>
          <w:sz w:val="21"/>
          <w:szCs w:val="21"/>
        </w:rPr>
        <w:t xml:space="preserve">If you find yourself, or Cursor, reaching for anything in this Part Three before completing Phase 6 of Part Two, stop. Ask: do I have paying members yet? If not, this can wait. Revisit the Constitution's Final Instruction (Section 0.6) before proceeding.</w:t>
      </w:r>
    </w:p>
    <w:p>
      <w:pPr>
        <w:pStyle w:val="Heading1"/>
      </w:pPr>
      <w:r>
        <w:t xml:space="preserve">14. Membership Tier Philosophy (Confirmed, Already Reflected in Part Two)</w:t>
      </w:r>
    </w:p>
    <w:p>
      <w:pPr>
        <w:spacing w:after="160"/>
      </w:pPr>
      <w:r>
        <w:t xml:space="preserve">Tiers differentiate by editorial depth and presentation only, never by editorial quality, and In Memoriam remains a separate memorial archive. No further action needed; this section exists only to confirm there is no conflict elsewhere in this document on this point.</w:t>
      </w:r>
    </w:p>
    <w:p>
      <w:pPr>
        <w:pStyle w:val="Heading1"/>
      </w:pPr>
      <w:r>
        <w:t xml:space="preserve">15. Member Dashboard (Phase 7)</w:t>
      </w:r>
    </w:p>
    <w:p>
      <w:pPr>
        <w:spacing w:after="160"/>
      </w:pPr>
      <w:r>
        <w:t xml:space="preserve">A self-service area where a published member can see and manage their own profile, beyond the admin panel — likely a Laravel Livewire-powered area, given Filament's own component model would integrate naturally if built as a separate Livewire app within the same Laravel codebase. Proposed contents, in rough priority order:</w:t>
      </w:r>
    </w:p>
    <w:p>
      <w:pPr>
        <w:pStyle w:val="ListParagraph"/>
        <w:numPr>
          <w:ilvl w:val="0"/>
          <w:numId w:val="2"/>
        </w:numPr>
        <w:spacing w:after="100"/>
      </w:pPr>
      <w:r>
        <w:t xml:space="preserve">Profile status (draft / in review / published / renewal due)</w:t>
      </w:r>
    </w:p>
    <w:p>
      <w:pPr>
        <w:pStyle w:val="ListParagraph"/>
        <w:numPr>
          <w:ilvl w:val="0"/>
          <w:numId w:val="2"/>
        </w:numPr>
        <w:spacing w:after="100"/>
      </w:pPr>
      <w:r>
        <w:t xml:space="preserve">Profile preview</w:t>
      </w:r>
    </w:p>
    <w:p>
      <w:pPr>
        <w:pStyle w:val="ListParagraph"/>
        <w:numPr>
          <w:ilvl w:val="0"/>
          <w:numId w:val="2"/>
        </w:numPr>
        <w:spacing w:after="100"/>
      </w:pPr>
      <w:r>
        <w:t xml:space="preserve">QR code download</w:t>
      </w:r>
    </w:p>
    <w:p>
      <w:pPr>
        <w:pStyle w:val="ListParagraph"/>
        <w:numPr>
          <w:ilvl w:val="0"/>
          <w:numId w:val="2"/>
        </w:numPr>
        <w:spacing w:after="100"/>
      </w:pPr>
      <w:r>
        <w:t xml:space="preserve">Renewal management</w:t>
      </w:r>
    </w:p>
    <w:p>
      <w:pPr>
        <w:pStyle w:val="ListParagraph"/>
        <w:numPr>
          <w:ilvl w:val="0"/>
          <w:numId w:val="2"/>
        </w:numPr>
        <w:spacing w:after="100"/>
      </w:pPr>
      <w:r>
        <w:t xml:space="preserve">Editorial update requests (creates an EditorialService record)</w:t>
      </w:r>
    </w:p>
    <w:p>
      <w:pPr>
        <w:pStyle w:val="ListParagraph"/>
        <w:numPr>
          <w:ilvl w:val="0"/>
          <w:numId w:val="2"/>
        </w:numPr>
        <w:spacing w:after="100"/>
      </w:pPr>
      <w:r>
        <w:t xml:space="preserve">Payment history</w:t>
      </w:r>
    </w:p>
    <w:p>
      <w:pPr>
        <w:pStyle w:val="ListParagraph"/>
        <w:numPr>
          <w:ilvl w:val="0"/>
          <w:numId w:val="2"/>
        </w:numPr>
        <w:spacing w:after="100"/>
      </w:pPr>
      <w:r>
        <w:t xml:space="preserve">Notifications</w:t>
      </w:r>
    </w:p>
    <w:p>
      <w:pPr>
        <w:pStyle w:val="ListParagraph"/>
        <w:numPr>
          <w:ilvl w:val="0"/>
          <w:numId w:val="2"/>
        </w:numPr>
        <w:spacing w:after="100"/>
      </w:pPr>
      <w:r>
        <w:t xml:space="preserve">Digital visiting card download (Section 21)</w:t>
      </w:r>
    </w:p>
    <w:p>
      <w:pPr>
        <w:pStyle w:val="ListParagraph"/>
        <w:numPr>
          <w:ilvl w:val="0"/>
          <w:numId w:val="2"/>
        </w:numPr>
        <w:spacing w:after="100"/>
      </w:pPr>
      <w:r>
        <w:t xml:space="preserve">Profile analytics, member-facing (Section 17)</w:t>
      </w:r>
    </w:p>
    <w:p>
      <w:pPr>
        <w:pStyle w:val="ListParagraph"/>
        <w:numPr>
          <w:ilvl w:val="0"/>
          <w:numId w:val="2"/>
        </w:numPr>
        <w:spacing w:after="100"/>
      </w:pPr>
      <w:r>
        <w:t xml:space="preserve">Professional Appreciations, member-facing (Section 16)</w:t>
      </w:r>
    </w:p>
    <w:p>
      <w:pPr>
        <w:pStyle w:val="Heading1"/>
      </w:pPr>
      <w:r>
        <w:t xml:space="preserve">16. Professional Appreciations (Phase 7)</w:t>
      </w:r>
    </w:p>
    <w:p>
      <w:pPr>
        <w:spacing w:after="160"/>
      </w:pPr>
      <w:r>
        <w:t xml:space="preserve">A replacement for public “likes,” designed to fit IconsHerald's dignity-first philosophy rather than social-network mechanics:</w:t>
      </w:r>
    </w:p>
    <w:p>
      <w:pPr>
        <w:pStyle w:val="ListParagraph"/>
        <w:numPr>
          <w:ilvl w:val="0"/>
          <w:numId w:val="2"/>
        </w:numPr>
        <w:spacing w:after="100"/>
      </w:pPr>
      <w:r>
        <w:t xml:space="preserve">Visible only to the member who received them — never displayed publicly on the profile page itself.</w:t>
      </w:r>
    </w:p>
    <w:p>
      <w:pPr>
        <w:pStyle w:val="ListParagraph"/>
        <w:numPr>
          <w:ilvl w:val="0"/>
          <w:numId w:val="2"/>
        </w:numPr>
        <w:spacing w:after="100"/>
      </w:pPr>
      <w:r>
        <w:t xml:space="preserve">No public counts, leaderboards, or popularity rankings anywhere on the platform.</w:t>
      </w:r>
    </w:p>
    <w:p>
      <w:pPr>
        <w:pStyle w:val="ListParagraph"/>
        <w:numPr>
          <w:ilvl w:val="0"/>
          <w:numId w:val="2"/>
        </w:numPr>
        <w:spacing w:after="100"/>
      </w:pPr>
      <w:r>
        <w:t xml:space="preserve">Likely implementation: a logged-in visitor can leave a short, moderated note tied to a profile; the member sees these in their dashboard.</w:t>
      </w:r>
    </w:p>
    <w:p>
      <w:pPr>
        <w:pStyle w:val="Heading1"/>
      </w:pPr>
      <w:r>
        <w:t xml:space="preserve">17. Analytics (Phase 7)</w:t>
      </w:r>
    </w:p>
    <w:p>
      <w:pPr>
        <w:pStyle w:val="Heading2"/>
      </w:pPr>
      <w:r>
        <w:t xml:space="preserve">17.1 Founder Analytics</w:t>
      </w:r>
    </w:p>
    <w:p>
      <w:pPr>
        <w:pStyle w:val="ListParagraph"/>
        <w:numPr>
          <w:ilvl w:val="0"/>
          <w:numId w:val="2"/>
        </w:numPr>
        <w:spacing w:after="100"/>
      </w:pPr>
      <w:r>
        <w:t xml:space="preserve">Visitors (consider Plausible/Umami for a privacy-respecting option rather than building custom tracking)</w:t>
      </w:r>
    </w:p>
    <w:p>
      <w:pPr>
        <w:pStyle w:val="ListParagraph"/>
        <w:numPr>
          <w:ilvl w:val="0"/>
          <w:numId w:val="2"/>
        </w:numPr>
        <w:spacing w:after="100"/>
      </w:pPr>
      <w:r>
        <w:t xml:space="preserve">Applications (volume, by package, by profession, over time)</w:t>
      </w:r>
    </w:p>
    <w:p>
      <w:pPr>
        <w:pStyle w:val="ListParagraph"/>
        <w:numPr>
          <w:ilvl w:val="0"/>
          <w:numId w:val="2"/>
        </w:numPr>
        <w:spacing w:after="100"/>
      </w:pPr>
      <w:r>
        <w:t xml:space="preserve">Revenue (from the Payment table)</w:t>
      </w:r>
    </w:p>
    <w:p>
      <w:pPr>
        <w:pStyle w:val="ListParagraph"/>
        <w:numPr>
          <w:ilvl w:val="0"/>
          <w:numId w:val="2"/>
        </w:numPr>
        <w:spacing w:after="100"/>
      </w:pPr>
      <w:r>
        <w:t xml:space="preserve">Renewals</w:t>
      </w:r>
    </w:p>
    <w:p>
      <w:pPr>
        <w:pStyle w:val="ListParagraph"/>
        <w:numPr>
          <w:ilvl w:val="0"/>
          <w:numId w:val="2"/>
        </w:numPr>
        <w:spacing w:after="100"/>
      </w:pPr>
      <w:r>
        <w:t xml:space="preserve">QR code scans</w:t>
      </w:r>
    </w:p>
    <w:p>
      <w:pPr>
        <w:pStyle w:val="ListParagraph"/>
        <w:numPr>
          <w:ilvl w:val="0"/>
          <w:numId w:val="2"/>
        </w:numPr>
        <w:spacing w:after="100"/>
      </w:pPr>
      <w:r>
        <w:t xml:space="preserve">Search analytics</w:t>
      </w:r>
    </w:p>
    <w:p>
      <w:pPr>
        <w:pStyle w:val="Heading2"/>
      </w:pPr>
      <w:r>
        <w:t xml:space="preserve">17.2 Member-Facing Analytics</w:t>
      </w:r>
    </w:p>
    <w:p>
      <w:pPr>
        <w:pStyle w:val="ListParagraph"/>
        <w:numPr>
          <w:ilvl w:val="0"/>
          <w:numId w:val="2"/>
        </w:numPr>
        <w:spacing w:after="100"/>
      </w:pPr>
      <w:r>
        <w:t xml:space="preserve">Profile views</w:t>
      </w:r>
    </w:p>
    <w:p>
      <w:pPr>
        <w:pStyle w:val="ListParagraph"/>
        <w:numPr>
          <w:ilvl w:val="0"/>
          <w:numId w:val="2"/>
        </w:numPr>
        <w:spacing w:after="100"/>
      </w:pPr>
      <w:r>
        <w:t xml:space="preserve">QR scans</w:t>
      </w:r>
    </w:p>
    <w:p>
      <w:pPr>
        <w:pStyle w:val="ListParagraph"/>
        <w:numPr>
          <w:ilvl w:val="0"/>
          <w:numId w:val="2"/>
        </w:numPr>
        <w:spacing w:after="100"/>
      </w:pPr>
      <w:r>
        <w:t xml:space="preserve">Visiting card shares</w:t>
      </w:r>
    </w:p>
    <w:p>
      <w:pPr>
        <w:pStyle w:val="ListParagraph"/>
        <w:numPr>
          <w:ilvl w:val="0"/>
          <w:numId w:val="2"/>
        </w:numPr>
        <w:spacing w:after="100"/>
      </w:pPr>
      <w:r>
        <w:t xml:space="preserve">Appreciations received</w:t>
      </w:r>
    </w:p>
    <w:p>
      <w:pPr>
        <w:pStyle w:val="Heading1"/>
      </w:pPr>
      <w:r>
        <w:t xml:space="preserve">18. Browse &amp; Discovery Enhancements (Phase 7)</w:t>
      </w:r>
    </w:p>
    <w:p>
      <w:pPr>
        <w:spacing w:after="160"/>
      </w:pPr>
      <w:r>
        <w:t xml:space="preserve">Note: the Register's search specification (single search box, four matched fields, exact substring matching) is already fully designed — see the V9 Addendum, Sections 2–3. The items below are genuine enhancements beyond that baseline:</w:t>
      </w:r>
    </w:p>
    <w:p>
      <w:pPr>
        <w:pStyle w:val="ListParagraph"/>
        <w:numPr>
          <w:ilvl w:val="0"/>
          <w:numId w:val="2"/>
        </w:numPr>
        <w:spacing w:after="100"/>
      </w:pPr>
      <w:r>
        <w:t xml:space="preserve">Fuzzy / typo-tolerant matching</w:t>
      </w:r>
    </w:p>
    <w:p>
      <w:pPr>
        <w:pStyle w:val="ListParagraph"/>
        <w:numPr>
          <w:ilvl w:val="0"/>
          <w:numId w:val="2"/>
        </w:numPr>
        <w:spacing w:after="100"/>
      </w:pPr>
      <w:r>
        <w:t xml:space="preserve">Alphabetical and “recently published” sorting options</w:t>
      </w:r>
    </w:p>
    <w:p>
      <w:pPr>
        <w:pStyle w:val="Heading1"/>
      </w:pPr>
      <w:r>
        <w:t xml:space="preserve">19. Category-Adaptive Questionnaire Forms (Phase 7)</w:t>
      </w:r>
    </w:p>
    <w:p>
      <w:pPr>
        <w:spacing w:after="160"/>
      </w:pPr>
      <w:r>
        <w:t xml:space="preserve">Dynamically adapting questionnaire fields by profession (e.g. a surgeon's form asks about clinical specialisations; an architect's form asks about built projects). Recommend scoping this as its own mini-project with a written plan.</w:t>
      </w:r>
    </w:p>
    <w:p>
      <w:pPr>
        <w:pStyle w:val="Heading1"/>
      </w:pPr>
      <w:r>
        <w:t xml:space="preserve">20. AI Portrait Enhancement (Phase 7)</w:t>
      </w:r>
    </w:p>
    <w:p>
      <w:pPr>
        <w:spacing w:after="160"/>
      </w:pPr>
      <w:r>
        <w:t xml:space="preserve">An optional, clearly-labelled AI-enhanced version of a member-submitted photograph, reviewed by the founder before use, never replacing the original submitted photo without the member's knowledge.</w:t>
      </w:r>
    </w:p>
    <w:p>
      <w:pPr>
        <w:pStyle w:val="Heading1"/>
      </w:pPr>
      <w:r>
        <w:t xml:space="preserve">21. Digital Visiting Card (Phase 7)</w:t>
      </w:r>
    </w:p>
    <w:p>
      <w:pPr>
        <w:spacing w:after="160"/>
      </w:pPr>
      <w:r>
        <w:t xml:space="preserve">An auto-generated, branded, shareable card containing the member's name, designation, organisation, QR code, and IconsHerald branding — designed to be shared on WhatsApp or LinkedIn.</w:t>
      </w:r>
    </w:p>
    <w:p>
      <w:pPr>
        <w:pStyle w:val="Heading1"/>
      </w:pPr>
      <w:r>
        <w:t xml:space="preserve">22. Video Support (Phase 7)</w:t>
      </w:r>
    </w:p>
    <w:p>
      <w:pPr>
        <w:spacing w:after="160"/>
      </w:pPr>
      <w:r>
        <w:t xml:space="preserve">Eligible tiers may include short videos (recommended max 60 seconds), hosted via a third-party embed rather than self-hosted video storage.</w:t>
      </w:r>
    </w:p>
    <w:p>
      <w:pPr>
        <w:pStyle w:val="Heading1"/>
      </w:pPr>
      <w:r>
        <w:t xml:space="preserve">23. Editorial Verification Sourcing (Confirmed Practice, Not a Build Item)</w:t>
      </w:r>
    </w:p>
    <w:p>
      <w:pPr>
        <w:spacing w:after="160"/>
      </w:pPr>
      <w:r>
        <w:t xml:space="preserve">Use LinkedIn and official public professional profiles wherever possible during editorial review; request additional evidence from the applicant only when necessary. This is an editorial process guideline, not a software feature.</w:t>
      </w:r>
    </w:p>
    <w:p>
      <w:pPr>
        <w:pStyle w:val="Heading1"/>
      </w:pPr>
      <w:r>
        <w:t xml:space="preserve">24. Email Architecture</w:t>
      </w:r>
    </w:p>
    <w:p>
      <w:pPr>
        <w:spacing w:after="160"/>
      </w:pPr>
      <w:r>
        <w:t xml:space="preserve">During the current demo / market-testing phase, founder@iconsherald.com is the single live, personally-monitored contact address — see Part Four, Section 3. The fuller role-based structure below remains the target state once the business is incorporated and ready to present a more institutional footprint; none of it needs to exist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Address</w:t>
            </w:r>
          </w:p>
        </w:tc>
        <w:tc>
          <w:tcPr>
            <w:tcW w:type="dxa" w:w="6000"/>
            <w:tcBorders>
              <w:top w:val="single" w:color="CCCCCC" w:sz="2"/>
              <w:left w:val="single" w:color="CCCCCC" w:sz="2"/>
              <w:bottom w:val="single" w:color="CCCCCC" w:sz="2"/>
              <w:right w:val="single" w:color="CCCCCC" w:sz="2"/>
            </w:tcBorders>
            <w:shd w:fill="F2E8D5" w:val="clear"/>
            <w:tcMar>
              <w:top w:type="dxa" w:w="80"/>
              <w:left w:type="dxa" w:w="120"/>
              <w:bottom w:type="dxa" w:w="80"/>
              <w:right w:type="dxa" w:w="120"/>
            </w:tcMar>
          </w:tcPr>
          <w:p>
            <w:r>
              <w:rPr>
                <w:b/>
                <w:bCs/>
                <w:sz w:val="20"/>
                <w:szCs w:val="20"/>
              </w:rPr>
              <w:t xml:space="preserve">Suggested Purpose</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founder@iconsherald.com</w:t>
            </w:r>
          </w:p>
        </w:tc>
        <w:tc>
          <w:tcPr>
            <w:tcW w:type="dxa" w:w="6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Direct line to the founder — currently the primary, live contact address during the demo phase</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hello@iconsherald.com</w:t>
            </w:r>
          </w:p>
        </w:tc>
        <w:tc>
          <w:tcPr>
            <w:tcW w:type="dxa" w:w="6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General enquiries / brand-signature address — activate once role-based forwarding is set up</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editorial@iconsherald.com</w:t>
            </w:r>
          </w:p>
        </w:tc>
        <w:tc>
          <w:tcPr>
            <w:tcW w:type="dxa" w:w="6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Application and biography-related correspondence</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memberships@iconsherald.com</w:t>
            </w:r>
          </w:p>
        </w:tc>
        <w:tc>
          <w:tcPr>
            <w:tcW w:type="dxa" w:w="6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Billing, renewals, package questions</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support@iconsherald.com</w:t>
            </w:r>
          </w:p>
        </w:tc>
        <w:tc>
          <w:tcPr>
            <w:tcW w:type="dxa" w:w="6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Technical/account support</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accounts@iconsherald.com</w:t>
            </w:r>
          </w:p>
        </w:tc>
        <w:tc>
          <w:tcPr>
            <w:tcW w:type="dxa" w:w="6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Invoicing and GST-related correspondence</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inmemoriam@iconsherald.com</w:t>
            </w:r>
          </w:p>
        </w:tc>
        <w:tc>
          <w:tcPr>
            <w:tcW w:type="dxa" w:w="6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In Memoriam commissioning enquiries</w:t>
            </w:r>
          </w:p>
        </w:tc>
      </w:tr>
    </w:tbl>
    <w:p>
      <w:pPr>
        <w:pBdr>
          <w:left w:val="single" w:color="9A6B2A" w:sz="12" w:space="8"/>
        </w:pBdr>
        <w:spacing w:after="200"/>
      </w:pPr>
      <w:r>
        <w:rPr>
          <w:i/>
          <w:iCs/>
          <w:color w:val="595959"/>
          <w:sz w:val="21"/>
          <w:szCs w:val="21"/>
        </w:rPr>
        <w:t xml:space="preserve">All addresses can forward to the same inbox you actually check day to day — set these up as forwarding aliases in Cloudflare Email Routing (free) once you're ready, rather than as separate mailboxes.</w:t>
      </w:r>
    </w:p>
    <w:p>
      <w:pPr>
        <w:pStyle w:val="Heading1"/>
      </w:pPr>
      <w:r>
        <w:t xml:space="preserve">25. International Enquiries (Phase 7 or Later)</w:t>
      </w:r>
    </w:p>
    <w:p>
      <w:pPr>
        <w:spacing w:after="160"/>
      </w:pPr>
      <w:r>
        <w:t xml:space="preserve">Accept enquiries from overseas and maintain an interest database, without committing to international pricing, payment processing, or tax handling until volume justifies the work.</w:t>
      </w:r>
    </w:p>
    <w:p>
      <w:pPr>
        <w:pStyle w:val="Heading1"/>
      </w:pPr>
      <w:r>
        <w:t xml:space="preserve">26. Brand Signature</w:t>
      </w:r>
    </w:p>
    <w:p>
      <w:pPr>
        <w:spacing w:after="160"/>
      </w:pPr>
      <w:r>
        <w:t xml:space="preserve">The official brand signature, used consistently across the website footer, transactional emails, invoices, and any printed or shared material:</w:t>
      </w:r>
    </w:p>
    <w:p>
      <w:pPr>
        <w:spacing w:after="60"/>
        <w:jc w:val="center"/>
      </w:pPr>
      <w:r>
        <w:rPr>
          <w:b/>
          <w:bCs/>
          <w:i/>
          <w:iCs/>
          <w:sz w:val="26"/>
          <w:szCs w:val="26"/>
        </w:rPr>
        <w:t xml:space="preserve">Herald Yourself.</w:t>
      </w:r>
    </w:p>
    <w:p>
      <w:pPr>
        <w:spacing w:after="60"/>
        <w:jc w:val="center"/>
      </w:pPr>
      <w:r>
        <w:rPr>
          <w:sz w:val="22"/>
          <w:szCs w:val="22"/>
        </w:rPr>
        <w:t xml:space="preserve">IconsHerald.com</w:t>
      </w:r>
    </w:p>
    <w:p>
      <w:pPr>
        <w:spacing w:after="200"/>
        <w:jc w:val="center"/>
      </w:pPr>
      <w:r>
        <w:rPr>
          <w:color w:val="595959"/>
          <w:sz w:val="20"/>
          <w:szCs w:val="20"/>
        </w:rPr>
        <w:t xml:space="preserve">founder@iconsherald.com  (demo phase)  ·  hello@iconsherald.com  (post-incorporation)</w:t>
      </w:r>
    </w:p>
    <w:p>
      <w:pPr>
        <w:pBdr>
          <w:bottom w:val="single" w:color="9A6B2A" w:sz="6" w:space="1"/>
        </w:pBdr>
        <w:spacing w:after="300" w:before="100"/>
      </w:pPr>
      <w:r>
        <w:t xml:space="preserve"/>
      </w:r>
    </w:p>
    <w:p>
      <w:r>
        <w:br w:type="page"/>
      </w:r>
    </w:p>
    <w:p>
      <w:pPr>
        <w:spacing w:after="100"/>
        <w:jc w:val="center"/>
      </w:pPr>
      <w:r>
        <w:rPr>
          <w:b/>
          <w:bCs/>
          <w:color w:val="9A6B2A"/>
          <w:sz w:val="28"/>
          <w:szCs w:val="28"/>
        </w:rPr>
        <w:t xml:space="preserve">PART FOUR</w:t>
      </w:r>
    </w:p>
    <w:p>
      <w:pPr>
        <w:spacing w:after="400"/>
        <w:jc w:val="center"/>
      </w:pPr>
      <w:r>
        <w:rPr>
          <w:b/>
          <w:bCs/>
          <w:sz w:val="32"/>
          <w:szCs w:val="32"/>
        </w:rPr>
        <w:t xml:space="preserve">Operational Decisions Log — Since the V9 Addendum</w:t>
      </w:r>
    </w:p>
    <w:p>
      <w:pPr>
        <w:spacing w:after="160"/>
      </w:pPr>
      <w:r>
        <w:t xml:space="preserve">This part records every decision made since the V9 Addendum that affects the build, the demo site, or how Cursor should be briefed. It does not duplicate homepage copy, navigation wording, or the Register search specification — those remain fully and authoritatively documented in the V9 Revision Brief v3.0 and the V9 Addendum v1.0, which should still be read alongside this document.</w:t>
      </w:r>
    </w:p>
    <w:p>
      <w:pPr>
        <w:pStyle w:val="Heading1"/>
      </w:pPr>
      <w:r>
        <w:t xml:space="preserve">1. Stack Decision: Laravel + Filament (Supersedes Next.js)</w:t>
      </w:r>
    </w:p>
    <w:p>
      <w:pPr>
        <w:spacing w:after="160"/>
      </w:pPr>
      <w:r>
        <w:t xml:space="preserve">After evaluating both options directly, the build moved from the Next.js/Prisma/NextAuth stack in Master Build Reference v2.0 to Laravel + Filament, for a complete-beginner, solo founder learning Cursor as a coding tool. Reasoning is recorded in full in Part Two, Section 2.2 of this document. Zero code had been written under the old stack at the time of this decision, so the switch carried no rebuild cost.</w:t>
      </w:r>
    </w:p>
    <w:p>
      <w:pPr>
        <w:pStyle w:val="Heading1"/>
      </w:pPr>
      <w:r>
        <w:t xml:space="preserve">2. Pricing Unification: Major Editorial Revision</w:t>
      </w:r>
    </w:p>
    <w:p>
      <w:pPr>
        <w:spacing w:after="160"/>
      </w:pPr>
      <w:r>
        <w:t xml:space="preserve">The Major Editorial Revision fee is unified at ₹5,000 + GST across both the Register and In Memoriam (previously ₹8,000 + GST in both divisions). Package tier upgrades (e.g. Emerging to Accomplished) are now explicitly covered under this same flat fee, rather than priced separately. This has been updated throughout the demo HTML (pricing card, both FAQ entries, and the In Memoriam page) and in the payment events table in Part Two, Section 5.1 of this document.</w:t>
      </w:r>
    </w:p>
    <w:p>
      <w:pPr>
        <w:pStyle w:val="Heading1"/>
      </w:pPr>
      <w:r>
        <w:t xml:space="preserve">3. Demo / Market-Testing Site Policy</w:t>
      </w:r>
    </w:p>
    <w:p>
      <w:pPr>
        <w:pStyle w:val="Heading2"/>
      </w:pPr>
      <w:r>
        <w:t xml:space="preserve">3.1 Status Disclosure</w:t>
      </w:r>
    </w:p>
    <w:p>
      <w:pPr>
        <w:spacing w:after="160"/>
      </w:pPr>
      <w:r>
        <w:t xml:space="preserve">The live demo (iconsherald.com on Vercel) now carries a clear, dignified notice on the homepage (beneath the hero) and in the footer stating that it is a demonstration site prepared for market testing, not yet accepting live applications or payments. This is in addition to the existing per-page “live demonstration” notices already present on the legal pages.</w:t>
      </w:r>
    </w:p>
    <w:p>
      <w:pPr>
        <w:pStyle w:val="Heading2"/>
      </w:pPr>
      <w:r>
        <w:t xml:space="preserve">3.2 Contact Channel: Email Only, No Chat Widget</w:t>
      </w:r>
    </w:p>
    <w:p>
      <w:pPr>
        <w:spacing w:after="160"/>
      </w:pPr>
      <w:r>
        <w:t xml:space="preserve">Live chat widgets (e.g. tawk.to) were evaluated and explicitly declined for the current demo stage. A chat widget collects visitor data (name, email, message) the moment a visitor uses it, which engages DPDP Act obligations regardless of whether the business is yet incorporated — the obligation attaches to the act of collecting personal data, not to the collector's registration status. Publishing a contact email instead avoids this: the visitor initiates contact from their own device, and nothing is collected by IconsHerald in the process.</w:t>
      </w:r>
    </w:p>
    <w:p>
      <w:pPr>
        <w:spacing w:after="160"/>
      </w:pPr>
      <w:r>
        <w:t xml:space="preserve">founder@iconsherald.com is the single contact channel for the demo phase, added to: the homepage disclaimer, the In Memoriam homepage card (replacing the previous hello@iconsherald.com reference), the footer disclaimer line, and the Contact page (as an explicit “prefer email?” alternative alongside the existing client-side contact form, which does not actually transmit data anywhere on this static demo).</w:t>
      </w:r>
    </w:p>
    <w:p>
      <w:pPr>
        <w:pBdr>
          <w:left w:val="single" w:color="9A6B2A" w:sz="12" w:space="8"/>
        </w:pBdr>
        <w:spacing w:after="200"/>
      </w:pPr>
      <w:r>
        <w:rPr>
          <w:i/>
          <w:iCs/>
          <w:color w:val="595959"/>
          <w:sz w:val="21"/>
          <w:szCs w:val="21"/>
        </w:rPr>
        <w:t xml:space="preserve">This is a demo-stage decision, not a permanent one. Once Oreon Dynamics Pvt Ltd is incorporated and the role-based email structure in Part Three, Section 24 is activated, hello@iconsherald.com resumes its role as the general public-facing address.</w:t>
      </w:r>
    </w:p>
    <w:p>
      <w:pPr>
        <w:pStyle w:val="Heading2"/>
      </w:pPr>
      <w:r>
        <w:t xml:space="preserve">3.3 Registration Status — Not a Blocker</w:t>
      </w:r>
    </w:p>
    <w:p>
      <w:pPr>
        <w:spacing w:after="160"/>
      </w:pPr>
      <w:r>
        <w:t xml:space="preserve">Operating as an unregistered individual is not illegal; it defaults to sole proprietorship under Indian law and does not require formal incorporation to run a market-testing site. The pressure to incorporate (as Oreon Dynamics Pvt Ltd) comes from practical needs — Razorpay KYC for live payments, a business bank account, GST registration once turnover crosses the threshold — not from any law barring a demo website. This is general guidance, not a legal opinion; a brief consult with an Indian startup lawyer is worth scheduling before any live payment processing or data collection at scale begins.</w:t>
      </w:r>
    </w:p>
    <w:p>
      <w:pPr>
        <w:pStyle w:val="Heading2"/>
      </w:pPr>
      <w:r>
        <w:t xml:space="preserve">3.4 Search Engine Indexing — Blocked During the Demo Phase</w:t>
      </w:r>
    </w:p>
    <w:p>
      <w:pPr>
        <w:spacing w:after="160"/>
      </w:pPr>
      <w:r>
        <w:t xml:space="preserve">The live demo's &lt;meta name="robots"&gt; tag is set to noindex, nofollow for the duration of the demo/market-testing phase (the business is not expected to be functional until October). This was a deliberate change from the demo's earlier index, follow setting, made for two reasons: first, the demo's pricing, positioning, and full copy are otherwise fully visible to any competitor who finds it via search, which is a larger realistic risk than a competitor independently arriving at a similar idea; second, the demo's placeholder content (bracketed legal entity name and jurisdiction, fictional AI-generated specimen profiles, the demonstration notice) is not what should anchor the site's long-term search presence once real members exist.</w:t>
      </w:r>
    </w:p>
    <w:p>
      <w:pPr>
        <w:pStyle w:val="ListParagraph"/>
        <w:numPr>
          <w:ilvl w:val="0"/>
          <w:numId w:val="2"/>
        </w:numPr>
        <w:spacing w:after="100"/>
      </w:pPr>
      <w:r>
        <w:t xml:space="preserve">noindex does not hide the site from anyone with the direct link — prospects, the founder's son, or anyone else can still visit iconsherald.com exactly as before. It only removes it from Google's search results.</w:t>
      </w:r>
    </w:p>
    <w:p>
      <w:pPr>
        <w:pStyle w:val="ListParagraph"/>
        <w:numPr>
          <w:ilvl w:val="0"/>
          <w:numId w:val="2"/>
        </w:numPr>
        <w:spacing w:after="100"/>
      </w:pPr>
      <w:r>
        <w:t xml:space="preserve">Switch back to index, follow only once the real Laravel build replaces this demo at the Phase 6 cutover (Part Two, Section 11) — this is a single line of HTML to revert, not a structural change.</w:t>
      </w:r>
    </w:p>
    <w:p>
      <w:pPr>
        <w:pStyle w:val="ListParagraph"/>
        <w:numPr>
          <w:ilvl w:val="0"/>
          <w:numId w:val="2"/>
        </w:numPr>
        <w:spacing w:after="100"/>
      </w:pPr>
      <w:r>
        <w:t xml:space="preserve">This does not meaningfully cost future ranking: search authority builds mainly from genuine backlinks and real content engagement once live, not from a placeholder page sitting indexed for a few months beforehand.</w:t>
      </w:r>
    </w:p>
    <w:p>
      <w:pPr>
        <w:pBdr>
          <w:left w:val="single" w:color="9A6B2A" w:sz="12" w:space="8"/>
        </w:pBdr>
        <w:spacing w:after="200"/>
      </w:pPr>
      <w:r>
        <w:rPr>
          <w:i/>
          <w:iCs/>
          <w:color w:val="595959"/>
          <w:sz w:val="21"/>
          <w:szCs w:val="21"/>
        </w:rPr>
        <w:t xml:space="preserve">Context: an external review prompted a wider check of “is IconsHerald the first platform of its kind.” The category of paid “Who's Who” biography services is not new (the original UK Who's Who dates to 1849; Marquis Who's Who in the US to 1898) and several operators in that category have drifted toward a vanity-publisher reputation. A digital-native, India-focused, fully editorial-creation service — the founder writes and verifies the biography, rather than selling a paid self-submission slot — does appear genuinely uncommon. Worth stating this distinction explicitly in copy somewhere (“we write it, we verify it, we don't sell memberships”) rather than claiming to be first in the category outright.</w:t>
      </w:r>
    </w:p>
    <w:p>
      <w:pPr>
        <w:pStyle w:val="Heading1"/>
      </w:pPr>
      <w:r>
        <w:t xml:space="preserve">4. In Memoriam Homepage Placement</w:t>
      </w:r>
    </w:p>
    <w:p>
      <w:pPr>
        <w:spacing w:after="160"/>
      </w:pPr>
      <w:r>
        <w:t xml:space="preserve">In Memoriam remains a visible homepage feature — it is not removed and not relegated to FAQ-only discovery. Its position has moved: it now appears as the second-to-last section of the homepage, immediately before the closing “Apply for an Editorial Profile” call-to-action band, rather than between the pricing section and the profession category grid. This keeps it discoverable for a visitor who scrolls the full page, while ensuring it is never the first or most prominent thing a new visitor encounters — consistent with the existing rule (V9 Revision Brief, Section 4.2) that In Memoriam must never sit at equal visual weight with a living-Register call to action.</w:t>
      </w:r>
    </w:p>
    <w:p>
      <w:pPr>
        <w:spacing w:after="160"/>
      </w:pPr>
      <w:r>
        <w:t xml:space="preserve">Marketing for In Memoriam remains referral-only and FAQ-driven: no cold email, no cold LinkedIn outreach, no paid advertising (Google or Meta) targeting this division. Bereavement is treated by Meta's own advertising policy as a sensitive personal-hardship category, and cold outreach to a recently bereaved person was independently judged inappropriate during pricing research — both reinforce the same conclusion from different directions.</w:t>
      </w:r>
    </w:p>
    <w:p>
      <w:pPr>
        <w:pStyle w:val="Heading2"/>
      </w:pPr>
      <w:r>
        <w:t xml:space="preserve">4.1 Header Link Removed</w:t>
      </w:r>
    </w:p>
    <w:p>
      <w:pPr>
        <w:spacing w:after="160"/>
      </w:pPr>
      <w:r>
        <w:t xml:space="preserve">The small, visually separated In Memoriam link that the V9 Revision Brief (Section 4.2) originally specified at the header's far edge has been removed entirely from the demo HTML, per the founder's direct review of the live header. In Memoriam is now reachable from exactly two places — the homepage section described above, and the labelled footer line — rather than three. The V9 Revision Brief has been updated to match (its Section 4.2 list and the executive summary bullet under “Homepage” both now describe two placements, not three). This does not affect pricing, content, or the architectural separation between Profile and InMemoriamProfile records — it is a navigation-only change.</w:t>
      </w:r>
    </w:p>
    <w:p>
      <w:pPr>
        <w:pStyle w:val="Heading1"/>
      </w:pPr>
      <w:r>
        <w:t xml:space="preserve">5. Staging vs. Production Domains</w:t>
      </w:r>
    </w:p>
    <w:p>
      <w:pPr>
        <w:spacing w:after="160"/>
      </w:pPr>
      <w:r>
        <w:t xml:space="preserve">The real Laravel + Filament build is deployed to a separate staging subdomain (e.g. app.iconsherald.com, pointed at Railway via a Cloudflare CNAME) for its entire development period. The existing live demo continues to occupy the root domain (iconsherald.com) unchanged throughout this period. The two are never merged or cross-linked during development. Cutover to the real application happens only when Part Two, Section 11, Phase 6 is complete — see How to Use This Document With Cursor, Section 7.4, for the exact DNS steps.</w:t>
      </w:r>
    </w:p>
    <w:p>
      <w:pPr>
        <w:pStyle w:val="Heading1"/>
      </w:pPr>
      <w:r>
        <w:t xml:space="preserve">6. Razorpay Test Mode — Standing Rule for the Entire Build</w:t>
      </w:r>
    </w:p>
    <w:p>
      <w:pPr>
        <w:spacing w:after="160"/>
      </w:pPr>
      <w:r>
        <w:t xml:space="preserve">Razorpay is configured with test keys only, for every environment (local development and the Railway staging deployment), for the full duration of the build across all six phases in Part Two, Section 11. The switch to live keys is a deliberate, separate, explicitly-confirmed action taken only at the Phase 6 cutover — never an incidental side effect of any other change. This is restated as a standing instruction to Cursor in Part Two, Sections 5.2 and 8.2, and in How to Use This Document With Cursor, Section 7.3.</w:t>
      </w:r>
    </w:p>
    <w:p>
      <w:pPr>
        <w:pStyle w:val="Heading1"/>
      </w:pPr>
      <w:r>
        <w:t xml:space="preserve">7. SEO &amp; Discoverability Requirements</w:t>
      </w:r>
    </w:p>
    <w:p>
      <w:pPr>
        <w:spacing w:after="160"/>
      </w:pPr>
      <w:r>
        <w:t xml:space="preserve">Added in response to the founder's review of an external risk analysis, which correctly identified that a member's first instinct after publication is to search their own name — if the profile doesn't appear credibly, the perceived value of the entire service drops sharply, regardless of how good the biography itself is. These are standing technical requirements for Cursor across Phases 2–6, not optional polish.</w:t>
      </w:r>
    </w:p>
    <w:p>
      <w:pPr>
        <w:pStyle w:val="Heading2"/>
      </w:pPr>
      <w:r>
        <w:t xml:space="preserve">7.1 Structured Data (Schema.org)</w:t>
      </w:r>
    </w:p>
    <w:p>
      <w:pPr>
        <w:pStyle w:val="ListParagraph"/>
        <w:numPr>
          <w:ilvl w:val="0"/>
          <w:numId w:val="2"/>
        </w:numPr>
        <w:spacing w:after="100"/>
      </w:pPr>
      <w:r>
        <w:t xml:space="preserve">Person schema on every published Register and In Memoriam profile — name, role/profession, affiliation, and sameAs links to the member's own verified professional profiles where supplied.</w:t>
      </w:r>
    </w:p>
    <w:p>
      <w:pPr>
        <w:pStyle w:val="ListParagraph"/>
        <w:numPr>
          <w:ilvl w:val="0"/>
          <w:numId w:val="2"/>
        </w:numPr>
        <w:spacing w:after="100"/>
      </w:pPr>
      <w:r>
        <w:t xml:space="preserve">Organization schema for IconsHerald itself, referenced on every page via a shared partial/component, not duplicated by hand per page.</w:t>
      </w:r>
    </w:p>
    <w:p>
      <w:pPr>
        <w:pStyle w:val="ListParagraph"/>
        <w:numPr>
          <w:ilvl w:val="0"/>
          <w:numId w:val="2"/>
        </w:numPr>
        <w:spacing w:after="100"/>
      </w:pPr>
      <w:r>
        <w:t xml:space="preserve">FAQPage schema on the FAQ section, BreadcrumbList schema on profile and category pages.</w:t>
      </w:r>
    </w:p>
    <w:p>
      <w:pPr>
        <w:pStyle w:val="Heading2"/>
      </w:pPr>
      <w:r>
        <w:t xml:space="preserve">7.2 Technical Fundamentals</w:t>
      </w:r>
    </w:p>
    <w:p>
      <w:pPr>
        <w:pStyle w:val="ListParagraph"/>
        <w:numPr>
          <w:ilvl w:val="0"/>
          <w:numId w:val="2"/>
        </w:numPr>
        <w:spacing w:after="100"/>
      </w:pPr>
      <w:r>
        <w:t xml:space="preserve">Auto-generated XML sitemap, kept current as profiles publish/unpublish, submitted to Google Search Console.</w:t>
      </w:r>
    </w:p>
    <w:p>
      <w:pPr>
        <w:pStyle w:val="ListParagraph"/>
        <w:numPr>
          <w:ilvl w:val="0"/>
          <w:numId w:val="2"/>
        </w:numPr>
        <w:spacing w:after="100"/>
      </w:pPr>
      <w:r>
        <w:t xml:space="preserve">robots.txt permitting crawl of all public Register/In Memoriam/legal pages; disallowing admin and authenticated routes.</w:t>
      </w:r>
    </w:p>
    <w:p>
      <w:pPr>
        <w:pStyle w:val="ListParagraph"/>
        <w:numPr>
          <w:ilvl w:val="0"/>
          <w:numId w:val="2"/>
        </w:numPr>
        <w:spacing w:after="100"/>
      </w:pPr>
      <w:r>
        <w:t xml:space="preserve">Canonical URLs on every page, particularly important once search/filter query parameters exist on the Register directory, to avoid duplicate-content dilution.</w:t>
      </w:r>
    </w:p>
    <w:p>
      <w:pPr>
        <w:pStyle w:val="ListParagraph"/>
        <w:numPr>
          <w:ilvl w:val="0"/>
          <w:numId w:val="2"/>
        </w:numPr>
        <w:spacing w:after="100"/>
      </w:pPr>
      <w:r>
        <w:t xml:space="preserve">Proper semantic heading hierarchy (one H1 per page, logical H2/H3 nesting) — carried over directly from the V9 demo's existing structure where it's already correct.</w:t>
      </w:r>
    </w:p>
    <w:p>
      <w:pPr>
        <w:pStyle w:val="ListParagraph"/>
        <w:numPr>
          <w:ilvl w:val="0"/>
          <w:numId w:val="2"/>
        </w:numPr>
        <w:spacing w:after="100"/>
      </w:pPr>
      <w:r>
        <w:t xml:space="preserve">Unique, accurate &lt;title&gt; and meta description per page, generated per-profile from the member's name and profession rather than a single repeated template.</w:t>
      </w:r>
    </w:p>
    <w:p>
      <w:pPr>
        <w:pStyle w:val="ListParagraph"/>
        <w:numPr>
          <w:ilvl w:val="0"/>
          <w:numId w:val="2"/>
        </w:numPr>
        <w:spacing w:after="100"/>
      </w:pPr>
      <w:r>
        <w:t xml:space="preserve">Descriptive alt text on every profile photograph, generated from the member's name and context, not left blank or generic.</w:t>
      </w:r>
    </w:p>
    <w:p>
      <w:pPr>
        <w:pStyle w:val="ListParagraph"/>
        <w:numPr>
          <w:ilvl w:val="0"/>
          <w:numId w:val="2"/>
        </w:numPr>
        <w:spacing w:after="100"/>
      </w:pPr>
      <w:r>
        <w:t xml:space="preserve">Fast load times via Cloudflare edge caching (already in the stack, see Part Two, Section 8.1) and Laravel route/response caching on public pages.</w:t>
      </w:r>
    </w:p>
    <w:p>
      <w:pPr>
        <w:pStyle w:val="Heading2"/>
      </w:pPr>
      <w:r>
        <w:t xml:space="preserve">7.3 Content &amp; Authority</w:t>
      </w:r>
    </w:p>
    <w:p>
      <w:pPr>
        <w:pStyle w:val="ListParagraph"/>
        <w:numPr>
          <w:ilvl w:val="0"/>
          <w:numId w:val="2"/>
        </w:numPr>
        <w:spacing w:after="100"/>
      </w:pPr>
      <w:r>
        <w:t xml:space="preserve">Maintain genuinely substantive, human-edited biography content per the existing AI-assists/human-publishes rule (Part One, Section 0.2) — thin or generic text is now also a direct SEO liability, not only an editorial one, since search engines increasingly downrank low-effort AI-generated content.</w:t>
      </w:r>
    </w:p>
    <w:p>
      <w:pPr>
        <w:pStyle w:val="ListParagraph"/>
        <w:numPr>
          <w:ilvl w:val="0"/>
          <w:numId w:val="2"/>
        </w:numPr>
        <w:spacing w:after="100"/>
      </w:pPr>
      <w:r>
        <w:t xml:space="preserve">Natural internal linking between related profiles (e.g. “other profiles in [profession]”) to build internal link equity without resorting to keyword-stuffed link farms.</w:t>
      </w:r>
    </w:p>
    <w:p>
      <w:pPr>
        <w:pStyle w:val="ListParagraph"/>
        <w:numPr>
          <w:ilvl w:val="0"/>
          <w:numId w:val="2"/>
        </w:numPr>
        <w:spacing w:after="100"/>
      </w:pPr>
      <w:r>
        <w:t xml:space="preserve">Encourage (never require) members to link their LinkedIn or personal site to their IconsHerald profile — a genuine backlink, not a purchased one.</w:t>
      </w:r>
    </w:p>
    <w:p>
      <w:pPr>
        <w:pStyle w:val="ListParagraph"/>
        <w:numPr>
          <w:ilvl w:val="0"/>
          <w:numId w:val="2"/>
        </w:numPr>
        <w:spacing w:after="100"/>
      </w:pPr>
      <w:r>
        <w:t xml:space="preserve">Institutional partnerships (bar councils, alumni associations — see Part Three, Section 25 context) double as a realistic backlink strategy, since institutional domains carry real authority Google respects.</w:t>
      </w:r>
    </w:p>
    <w:p>
      <w:pPr>
        <w:pStyle w:val="Heading2"/>
      </w:pPr>
      <w:r>
        <w:t xml:space="preserve">7.4 Setting Expectations</w:t>
      </w:r>
    </w:p>
    <w:p>
      <w:pPr>
        <w:pBdr>
          <w:left w:val="single" w:color="9A6B2A" w:sz="12" w:space="8"/>
        </w:pBdr>
        <w:spacing w:after="200"/>
      </w:pPr>
      <w:r>
        <w:rPr>
          <w:i/>
          <w:iCs/>
          <w:color w:val="595959"/>
          <w:sz w:val="21"/>
          <w:szCs w:val="21"/>
        </w:rPr>
        <w:t xml:space="preserve">Set this expectation explicitly during the application/sales conversation, not just in code: ranking on page one for a member's own name builds over months of accumulated domain authority, not days. Promising fast ranking and under-delivering would do more damage to trust than not promising it at all.</w:t>
      </w:r>
    </w:p>
    <w:p>
      <w:pPr>
        <w:pStyle w:val="Heading1"/>
      </w:pPr>
      <w:r>
        <w:t xml:space="preserve">8. Continuity &amp; Trust Policy — Confirmed, Placed in Terms &amp; Conditions</w:t>
      </w:r>
    </w:p>
    <w:p>
      <w:pPr>
        <w:spacing w:after="160"/>
      </w:pPr>
      <w:r>
        <w:t xml:space="preserve">Also added in response to the same external risk analysis, which identified the “permanence paradox” as the platform's sharpest unanswered objection: a new website promising permanence had no answer for what happens if the business itself pauses or changes hands. Founder's decision: this is now Section 12 of the Terms and Conditions (“Business Continuity and Discontinuation”), not the General Disclaimer or FAQ — placing it in the Terms is the binding, contractual location rather than a casual statement, and the clause is deliberately written as a stated policy and intention rather than an unqualified guarantee, to keep the commitment honest without creating unlimited liability.</w:t>
      </w:r>
    </w:p>
    <w:p>
      <w:pPr>
        <w:pBdr>
          <w:left w:val="single" w:color="9A6B2A" w:sz="12" w:space="8"/>
        </w:pBdr>
        <w:spacing w:after="200"/>
      </w:pPr>
      <w:r>
        <w:rPr>
          <w:i/>
          <w:iCs/>
          <w:color w:val="595959"/>
          <w:sz w:val="21"/>
          <w:szCs w:val="21"/>
        </w:rPr>
        <w:t xml:space="preserve">As published (Terms and Conditions, Section 12): “IconsHerald is built and operated with the intention of permanence. In the event that IconsHerald is sold, merged with, or has its business and assets transferred to another entity, published Profiles and the underlying records will transfer with the business, to be maintained under terms materially consistent with these Terms. In the event that IconsHerald ceases operations entirely, IconsHerald's policy is to provide each Member or, where applicable, their authorised family representative, with a complete export of their published Profile content, at no charge, in a durable downloadable format, and to provide no less than six (6) months' advance notice of discontinuation, except where this is not possible due to circumstances beyond IconsHerald's reasonable control. As an additional measure, IconsHerald may from time to time submit published Profile pages for independent archival snapshotting via publicly available web archiving services, so that a record may exist independently of IconsHerald's own systems. This Section states IconsHerald's operating policy and intention; it does not extend the limitation of liability in Section 14, and is not a warranty of perpetual operation.”</w:t>
      </w:r>
    </w:p>
    <w:p>
      <w:pPr>
        <w:spacing w:after="160"/>
      </w:pPr>
      <w:r>
        <w:t xml:space="preserve">Operational note, not just copy: the archival-snapshotting line refers to a real, free, low-effort practice — submitting each published profile URL to the Internet Archive's Wayback Machine (web.archive.org/save) at publish time. Recommend this become a standard step in the Filament publish workflow (Part Two, Section 9.1) once built, rather than a manual habit that's easy to forget.</w:t>
      </w:r>
    </w:p>
    <w:p>
      <w:pPr>
        <w:pBdr>
          <w:left w:val="single" w:color="9A6B2A" w:sz="12" w:space="8"/>
        </w:pBdr>
        <w:spacing w:after="200"/>
      </w:pPr>
      <w:r>
        <w:rPr>
          <w:i/>
          <w:iCs/>
          <w:color w:val="595959"/>
          <w:sz w:val="21"/>
          <w:szCs w:val="21"/>
        </w:rPr>
        <w:t xml:space="preserve">A lawyer should still review this clause (and the Terms generally) before commercial launch, per the existing Open Question in Part Two, Section 12 — this is now finalised content, not draft copy, but legal review of the whole Terms document remains outstanding regardless.</w:t>
      </w:r>
    </w:p>
    <w:p>
      <w:pPr>
        <w:pStyle w:val="Heading1"/>
      </w:pPr>
      <w:r>
        <w:t xml:space="preserve">9. In Memoriam Pricing — Confirmed Unchanged</w:t>
      </w:r>
    </w:p>
    <w:p>
      <w:pPr>
        <w:spacing w:after="160"/>
      </w:pPr>
      <w:r>
        <w:t xml:space="preserve">The ₹25,000 + GST / 3-year figure stays as-is. An earlier comparative argument for a modest increase (made during the founder/Claude conversation of June 2026) compared In Memoriam against the Distinguished Register tier and contained a calculation error: it treated the Distinguished tier's ₹18,000 figure as a recurring annual charge, producing an inflated ₹54,000 three-year comparison. In fact, package fees are a one-time creation cost (Part Two, Section 5.1) — Distinguished is ₹18,000 once, then ₹3,000 + GST/year from year two. Corrected, a Distinguished member's real 3-year cost is ₹18,000 + ₹3,000 + ₹3,000 = ₹24,000, essentially identical to (fractionally below) In Memoriam's existing ₹25,000. This removes the underpricing argument entirely — In Memoriam was already priced correctly relative to the founder's own top living tier.</w:t>
      </w:r>
    </w:p>
    <w:p>
      <w:pPr>
        <w:spacing w:after="160"/>
      </w:pPr>
      <w:r>
        <w:t xml:space="preserve">Founder's decision: leave the price unchanged. If genuine demand materialises — rather than speculatively in advance of it — consider introducing separate In Memoriam tiers, mirroring the Register's Emerging/Accomplished/Distinguished structure, instead of a single blanket price increase. This is consistent with the broader principle already governing this build (Part Two, Section 11 note): the platform follows proof of demand, it doesn't get built ahead of it.</w:t>
      </w:r>
    </w:p>
    <w:p>
      <w:pPr>
        <w:pStyle w:val="Heading1"/>
      </w:pPr>
      <w:r>
        <w:t xml:space="preserve">10. Early Bird Interest Programme</w:t>
      </w:r>
    </w:p>
    <w:p>
      <w:pPr>
        <w:spacing w:after="160"/>
      </w:pPr>
      <w:r>
        <w:t xml:space="preserve">Added to capture genuine interest generated by pre-launch outreach (the LinkedIn approach discussed in the founder/Claude conversation of June 2026), without waiting for the real application backend to exist. Full terms, as decided:</w:t>
      </w:r>
    </w:p>
    <w:p>
      <w:pPr>
        <w:pStyle w:val="ListParagraph"/>
        <w:numPr>
          <w:ilvl w:val="0"/>
          <w:numId w:val="2"/>
        </w:numPr>
        <w:spacing w:after="100"/>
      </w:pPr>
      <w:r>
        <w:t xml:space="preserve">Interest is collected via an external Google Form (not part of the Laravel build), linked from a new homepage section and FAQ entry on the live demo. The form does not ask which package tier the respondent is interested in — tier is decided later, when they actually apply.</w:t>
      </w:r>
    </w:p>
    <w:p>
      <w:pPr>
        <w:pStyle w:val="ListParagraph"/>
        <w:numPr>
          <w:ilvl w:val="0"/>
          <w:numId w:val="2"/>
        </w:numPr>
        <w:spacing w:after="100"/>
      </w:pPr>
      <w:r>
        <w:t xml:space="preserve">The first 50 expressions of interest, across all packages combined (not per tier), are each eligible for a one-time 20% discount on their Editorial Profile Creation fee — never on Annual Profile Maintenance &amp; Verification, consistent with the existing reasoning in the V9 Addendum, Section 9, that a discount only works as a lever on the fee someone is actually deciding on, not a smaller, later, separate charge.</w:t>
      </w:r>
    </w:p>
    <w:p>
      <w:pPr>
        <w:pStyle w:val="ListParagraph"/>
        <w:numPr>
          <w:ilvl w:val="0"/>
          <w:numId w:val="2"/>
        </w:numPr>
        <w:spacing w:after="100"/>
      </w:pPr>
      <w:r>
        <w:t xml:space="preserve">Entries beyond the first 50 are placed on a waiting list and told availability will be confirmed as places open — stated honestly on the site itself, not hidden.</w:t>
      </w:r>
    </w:p>
    <w:p>
      <w:pPr>
        <w:pStyle w:val="ListParagraph"/>
        <w:numPr>
          <w:ilvl w:val="0"/>
          <w:numId w:val="2"/>
        </w:numPr>
        <w:spacing w:after="100"/>
      </w:pPr>
      <w:r>
        <w:t xml:space="preserve">The 45-day redemption window is personal, not collective: it starts from the date each individual is notified that applications are open, not from one fixed calendar date applied to everyone. Two people joining the interest list months apart are treated identically once notified.</w:t>
      </w:r>
    </w:p>
    <w:p>
      <w:pPr>
        <w:pStyle w:val="ListParagraph"/>
        <w:numPr>
          <w:ilvl w:val="0"/>
          <w:numId w:val="2"/>
        </w:numPr>
        <w:spacing w:after="100"/>
      </w:pPr>
      <w:r>
        <w:t xml:space="preserve">Notifications are sent in staggered batches (around 15 at a time, a couple of weeks apart) rather than all 50 at once at launch. This was a deliberate operational choice, not a marketing one: the founder's own known constraint is editorial capacity (roughly 300 profiles/year solo, established earlier in this project), and 50 simultaneous onboardings in launch month would consume a meaningful fraction of a full year's capacity in a single, most fragile week. Staggering preserves the same offer and the same cap while protecting against a launch-week capacity crunch.</w:t>
      </w:r>
    </w:p>
    <w:p>
      <w:pPr>
        <w:pBdr>
          <w:left w:val="single" w:color="9A6B2A" w:sz="12" w:space="8"/>
        </w:pBdr>
        <w:spacing w:after="200"/>
      </w:pPr>
      <w:r>
        <w:rPr>
          <w:i/>
          <w:iCs/>
          <w:color w:val="595959"/>
          <w:sz w:val="21"/>
          <w:szCs w:val="21"/>
        </w:rPr>
        <w:t xml:space="preserve">Indicative cost: a mixed cohort of 50 across the three Register tiers gives up roughly ₹1,00,000–₹1,50,000 in creation-fee revenue in total — not a loss, since the underlying cost is mostly the founder's own time, but worth being a known, accepted number going in rather than a surprise later.</w:t>
      </w:r>
    </w:p>
    <w:p>
      <w:pPr>
        <w:spacing w:after="160"/>
      </w:pPr>
      <w:r>
        <w:t xml:space="preserve">Build requirement for Cursor: see Part Two, Section 5.3, for the two fields and the manual-discount workflow needed to actually honour this programme once people convert. No integration with the Google Form itself is required — the founder manually tracks notification dates in Filament as people are individually contacted.</w:t>
      </w:r>
    </w:p>
    <w:p>
      <w:pPr>
        <w:spacing w:after="160"/>
      </w:pPr>
      <w:r>
        <w:t xml:space="preserve">Separately, Google Search Console has been registered for the domain (free, does not make anything public or indexed) so that once the real site launches with real routes, indexing can begin within hours rather than weeks — see Section 7.4. No sitemap has been submitted yet, and none should be until real content exists to index.</w:t>
      </w:r>
    </w:p>
    <w:p>
      <w:pPr>
        <w:pStyle w:val="Heading1"/>
      </w:pPr>
      <w:r>
        <w:t xml:space="preserve">11. Register Applications — Self Only, No Proxy or Commissioning Flow</w:t>
      </w:r>
    </w:p>
    <w:p>
      <w:pPr>
        <w:spacing w:after="160"/>
      </w:pPr>
      <w:r>
        <w:t xml:space="preserve">Prompted by an external reviewer's suggestion to add an “I am applying for myself” / “I am commissioning this on behalf of someone else” toggle to the Register application form. The founder's decision, on review: no such toggle is needed, for two distinct reasons depending on division.</w:t>
      </w:r>
    </w:p>
    <w:p>
      <w:pPr>
        <w:pStyle w:val="ListParagraph"/>
        <w:numPr>
          <w:ilvl w:val="0"/>
          <w:numId w:val="2"/>
        </w:numPr>
        <w:spacing w:after="100"/>
      </w:pPr>
      <w:r>
        <w:t xml:space="preserve">Register (living professionals): applications remain self-only, by design, with no proxy or third-party commissioning flow. A third party answering the editorial questionnaire on someone else's behalf would quietly undermine the “journalist interview” framing already used in the demo's questionnaire copy — a framing that only holds if the person answering really is the subject. It also avoids a real DPDP consent question — a child or colleague supplying a living person's personal details without that person directly engaging is a messier consent posture than the current design, which sidesteps it entirely.</w:t>
      </w:r>
    </w:p>
    <w:p>
      <w:pPr>
        <w:pStyle w:val="ListParagraph"/>
        <w:numPr>
          <w:ilvl w:val="0"/>
          <w:numId w:val="2"/>
        </w:numPr>
        <w:spacing w:after="100"/>
      </w:pPr>
      <w:r>
        <w:t xml:space="preserve">In Memoriam: this was never a gap — Part Two, Section 3.1 already specifies that In Memoriam commissions are admin-initiated after a Contact Request from the family or institution, never a self-service application. There is no public application form for In Memoriam to add a toggle to in the first place. The reviewer's suggestion solved a problem that, for this division, does not exist.</w:t>
      </w:r>
    </w:p>
    <w:p>
      <w:pPr>
        <w:spacing w:after="160"/>
      </w:pPr>
      <w:r>
        <w:t xml:space="preserve">No data model or application-flow change results from this — the existing design (no subject/applicant distinction in the Application record, no public In Memoriam application form) already reflects both rules correctly. This section exists to record that the gap was considered and explicitly closed, not overlooked.</w:t>
      </w:r>
    </w:p>
    <w:p>
      <w:pPr>
        <w:pBdr>
          <w:bottom w:val="single" w:color="9A6B2A" w:sz="6" w:space="1"/>
        </w:pBdr>
        <w:spacing w:after="300" w:before="100"/>
      </w:pPr>
      <w:r>
        <w:t xml:space="preserve"/>
      </w:r>
    </w:p>
    <w:p>
      <w:pPr>
        <w:spacing w:after="160"/>
      </w:pPr>
      <w:r>
        <w:t xml:space="preserve">This Part Four log is, as of this revision, complete to the founder and Claude's knowledge. Further changes to the build, the demo, or these decisions should be directed to Cursor directly going forward, working from the four documents listed in the Document Map at the start of this reference — not routed back through a fresh revision of this document as a matter of course.</w:t>
      </w:r>
    </w:p>
    <w:p>
      <w:pPr>
        <w:spacing w:before="400"/>
        <w:jc w:val="center"/>
      </w:pPr>
      <w:r>
        <w:rPr>
          <w:b/>
          <w:bCs/>
          <w:i/>
          <w:iCs/>
        </w:rPr>
        <w:t xml:space="preserve">End of Master Build Reference v3.0.</w:t>
      </w:r>
    </w:p>
    <w:p>
      <w:pPr>
        <w:spacing w:before="100"/>
        <w:jc w:val="center"/>
      </w:pPr>
      <w:r>
        <w:rPr>
          <w:i/>
          <w:iCs/>
          <w:color w:val="9A6B2A"/>
        </w:rPr>
        <w:t xml:space="preserve">Herald Yourself.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IconsHerald — Master Build Reference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9A6B2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2026-06-28T01:43:08.695Z</dcterms:created>
  <dcterms:modified xsi:type="dcterms:W3CDTF">2026-06-28T01:43:08.707Z</dcterms:modified>
</cp:coreProperties>
</file>

<file path=docProps/custom.xml><?xml version="1.0" encoding="utf-8"?>
<Properties xmlns="http://schemas.openxmlformats.org/officeDocument/2006/custom-properties" xmlns:vt="http://schemas.openxmlformats.org/officeDocument/2006/docPropsVTypes"/>
</file>