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jc w:val="center"/>
      </w:pPr>
      <w:r>
        <w:rPr>
          <w:b/>
          <w:bCs/>
          <w:color w:val="5C4712"/>
          <w:sz w:val="60"/>
          <w:szCs w:val="60"/>
        </w:rPr>
        <w:t xml:space="preserve">ICONSHERALD</w:t>
      </w:r>
    </w:p>
    <w:p>
      <w:pPr>
        <w:spacing w:after="40" w:before="100"/>
        <w:jc w:val="center"/>
      </w:pPr>
      <w:r>
        <w:rPr>
          <w:i/>
          <w:iCs/>
          <w:color w:val="1A1A1A"/>
          <w:sz w:val="30"/>
          <w:szCs w:val="30"/>
        </w:rPr>
        <w:t xml:space="preserve">Herald Yourself.</w:t>
      </w:r>
    </w:p>
    <w:p>
      <w:pPr>
        <w:spacing w:after="40"/>
        <w:jc w:val="center"/>
      </w:pPr>
      <w:r>
        <w:rPr>
          <w:color w:val="595959"/>
          <w:sz w:val="20"/>
          <w:szCs w:val="20"/>
        </w:rPr>
        <w:t xml:space="preserve">IconsHerald.com  ·  hello@iconsherald.com</w:t>
      </w:r>
    </w:p>
    <w:p>
      <w:pPr>
        <w:spacing w:after="60" w:before="360"/>
        <w:jc w:val="center"/>
      </w:pPr>
      <w:r>
        <w:rPr>
          <w:color w:val="1A1A1A"/>
          <w:sz w:val="26"/>
          <w:szCs w:val="26"/>
        </w:rPr>
        <w:t xml:space="preserve">V9 Addendum</w:t>
      </w:r>
    </w:p>
    <w:p>
      <w:pPr>
        <w:spacing w:after="500"/>
        <w:jc w:val="center"/>
      </w:pPr>
      <w:r>
        <w:rPr>
          <w:i/>
          <w:iCs/>
          <w:color w:val="595959"/>
          <w:sz w:val="18"/>
          <w:szCs w:val="18"/>
        </w:rPr>
        <w:t xml:space="preserve">Every change made or agreed since the V9 Revision Brief was finalised — a single, consolidated record</w:t>
      </w:r>
    </w:p>
    <w:p>
      <w:pPr>
        <w:pBdr>
          <w:top w:val="single" w:color="C9A06A" w:sz="6" w:space="10"/>
          <w:bottom w:val="single" w:color="C9A06A" w:sz="6" w:space="10"/>
        </w:pBdr>
        <w:spacing w:after="200" w:before="200"/>
        <w:jc w:val="center"/>
      </w:pPr>
      <w:r>
        <w:rPr>
          <w:color w:val="595959"/>
          <w:sz w:val="20"/>
          <w:szCs w:val="20"/>
        </w:rPr>
        <w:t xml:space="preserve">Prepared for Mathew Varghese Perangatt  ·  Oreon Dynamics Pvt Ltd (proposed)</w:t>
      </w:r>
    </w:p>
    <w:p>
      <w:pPr>
        <w:spacing w:before="700"/>
        <w:jc w:val="center"/>
      </w:pPr>
      <w:r>
        <w:rPr>
          <w:color w:val="595959"/>
          <w:sz w:val="18"/>
          <w:szCs w:val="18"/>
        </w:rPr>
        <w:t xml:space="preserve">Document version 1.0  ·  June 2026</w:t>
      </w:r>
    </w:p>
    <w:p>
      <w:pPr>
        <w:spacing w:before="60"/>
        <w:jc w:val="center"/>
      </w:pPr>
      <w:r>
        <w:rPr>
          <w:i/>
          <w:iCs/>
          <w:color w:val="595959"/>
          <w:sz w:val="16"/>
          <w:szCs w:val="16"/>
        </w:rPr>
        <w:t xml:space="preserve">Supersedes: Search &amp; Discovery Addendum v1.0, Post-V9 Revision Brief Addendum v1.0 (both retired — do not use)</w:t>
      </w:r>
    </w:p>
    <w:p>
      <w:pPr>
        <w:spacing w:before="30"/>
        <w:jc w:val="center"/>
      </w:pPr>
      <w:r>
        <w:rPr>
          <w:i/>
          <w:iCs/>
          <w:color w:val="595959"/>
          <w:sz w:val="16"/>
          <w:szCs w:val="16"/>
        </w:rPr>
        <w:t xml:space="preserve">Reads alongside: Master Build Reference v2.0, V9 Revision Brief v3.0, IconsHerald Demo V9 (current)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This Document Is</w:t>
      </w:r>
    </w:p>
    <w:p>
      <w:pPr>
        <w:spacing w:after="160"/>
      </w:pPr>
      <w:r>
        <w:t xml:space="preserve">This is the single, consolidated record of everything agreed or built since the V9 Revision Brief was finalised. It replaces two earlier, separate documents — the Search &amp; Discovery Addendum and the Post-V9 Revision Brief Addendum — which should now be set aside. Nothing in those two documents is lost; every section from both has been carried into this one, in a single numbered sequence, with three new sections added for work completed since.</w:t>
      </w:r>
    </w:p>
    <w:p>
      <w:pPr>
        <w:pBdr>
          <w:left w:val="single" w:color="8A2E24" w:sz="12" w:space="8"/>
        </w:pBdr>
        <w:spacing w:after="200" w:before="80"/>
        <w:ind w:left="360"/>
      </w:pPr>
      <w:r>
        <w:rPr>
          <w:i/>
          <w:iCs/>
          <w:color w:val="8A2E24"/>
          <w:sz w:val="21"/>
          <w:szCs w:val="21"/>
        </w:rPr>
        <w:t xml:space="preserve">Working instruction for Cursor: this document is the only addendum to read alongside the Master Build Reference and the V9 Revision Brief. If older copies of the Search &amp; Discovery Addendum or the Post-V9 Revision Brief Addendum are present anywhere, they are superseded and should not be treated as current.</w:t>
      </w:r>
    </w:p>
    <w:p>
      <w:pPr>
        <w:pStyle w:val="Heading2"/>
      </w:pPr>
      <w:r>
        <w:t xml:space="preserve">1.1 What's Inside</w:t>
      </w:r>
    </w:p>
    <w:p>
      <w:pPr>
        <w:pStyle w:val="ListParagraph"/>
        <w:numPr>
          <w:ilvl w:val="0"/>
          <w:numId w:val="2"/>
        </w:numPr>
        <w:spacing w:after="80"/>
      </w:pPr>
      <w:r>
        <w:t xml:space="preserve">Sections 2–3 — the Register's search box: scope, data model, reasoning, and a literal worked test case</w:t>
      </w:r>
    </w:p>
    <w:p>
      <w:pPr>
        <w:pStyle w:val="ListParagraph"/>
        <w:numPr>
          <w:ilvl w:val="0"/>
          <w:numId w:val="2"/>
        </w:numPr>
        <w:spacing w:after="80"/>
      </w:pPr>
      <w:r>
        <w:t xml:space="preserve">Section 4 — homepage hero button label</w:t>
      </w:r>
    </w:p>
    <w:p>
      <w:pPr>
        <w:pStyle w:val="ListParagraph"/>
        <w:numPr>
          <w:ilvl w:val="0"/>
          <w:numId w:val="2"/>
        </w:numPr>
        <w:spacing w:after="80"/>
      </w:pPr>
      <w:r>
        <w:t xml:space="preserve">Section 5 — homepage section reorder (pricing before In Memoriam)</w:t>
      </w:r>
    </w:p>
    <w:p>
      <w:pPr>
        <w:pStyle w:val="ListParagraph"/>
        <w:numPr>
          <w:ilvl w:val="0"/>
          <w:numId w:val="2"/>
        </w:numPr>
        <w:spacing w:after="80"/>
      </w:pPr>
      <w:r>
        <w:t xml:space="preserve">Section 6 — In Memoriam homepage card enquiry line</w:t>
      </w:r>
    </w:p>
    <w:p>
      <w:pPr>
        <w:pStyle w:val="ListParagraph"/>
        <w:numPr>
          <w:ilvl w:val="0"/>
          <w:numId w:val="2"/>
        </w:numPr>
        <w:spacing w:after="80"/>
      </w:pPr>
      <w:r>
        <w:t xml:space="preserve">Section 7 — annual maintenance timing clarification (“from the second year”)</w:t>
      </w:r>
    </w:p>
    <w:p>
      <w:pPr>
        <w:pStyle w:val="ListParagraph"/>
        <w:numPr>
          <w:ilvl w:val="0"/>
          <w:numId w:val="2"/>
        </w:numPr>
        <w:spacing w:after="80"/>
      </w:pPr>
      <w:r>
        <w:t xml:space="preserve">Section 8 — two confirmed cleanup fixes (a missed emoji, orphaned CSS)</w:t>
      </w:r>
    </w:p>
    <w:p>
      <w:pPr>
        <w:pStyle w:val="ListParagraph"/>
        <w:numPr>
          <w:ilvl w:val="0"/>
          <w:numId w:val="2"/>
        </w:numPr>
        <w:spacing w:after="80"/>
      </w:pPr>
      <w:r>
        <w:t xml:space="preserve">Section 9 — considered and explicitly declined items, for the record</w:t>
      </w:r>
    </w:p>
    <w:p>
      <w:pPr>
        <w:pStyle w:val="ListParagraph"/>
        <w:numPr>
          <w:ilvl w:val="0"/>
          <w:numId w:val="2"/>
        </w:numPr>
        <w:spacing w:after="80"/>
      </w:pPr>
      <w:r>
        <w:t xml:space="preserve">Section 10 — correction to the Emerging package's actual definition</w:t>
      </w:r>
    </w:p>
    <w:p>
      <w:pPr>
        <w:pStyle w:val="ListParagraph"/>
        <w:numPr>
          <w:ilvl w:val="0"/>
          <w:numId w:val="2"/>
        </w:numPr>
        <w:spacing w:after="80"/>
      </w:pPr>
      <w:r>
        <w:t xml:space="preserve">Section 11 — removal of unsupported “Identity Verified” trust badges sitewide</w:t>
      </w:r>
    </w:p>
    <w:p>
      <w:pPr>
        <w:pStyle w:val="ListParagraph"/>
        <w:numPr>
          <w:ilvl w:val="0"/>
          <w:numId w:val="2"/>
        </w:numPr>
        <w:spacing w:after="80"/>
      </w:pPr>
      <w:r>
        <w:t xml:space="preserve">Section 12 — mandatory verification documents required before any In Memoriam commission begins</w:t>
      </w:r>
    </w:p>
    <w:p>
      <w:pPr>
        <w:pStyle w:val="ListParagraph"/>
        <w:numPr>
          <w:ilvl w:val="0"/>
          <w:numId w:val="2"/>
        </w:numPr>
        <w:spacing w:after="80"/>
      </w:pPr>
      <w:r>
        <w:t xml:space="preserve">Section 13 (new) — wording and tone corrections: repetitive legalistic phrasing softened, AI-disclosure placement corrected</w:t>
      </w:r>
    </w:p>
    <w:p>
      <w:pPr>
        <w:pStyle w:val="ListParagraph"/>
        <w:numPr>
          <w:ilvl w:val="0"/>
          <w:numId w:val="2"/>
        </w:numPr>
        <w:spacing w:after="80"/>
      </w:pPr>
      <w:r>
        <w:t xml:space="preserve">Section 14 (new) — emoji removed from the underlying data model</w:t>
      </w:r>
    </w:p>
    <w:p>
      <w:pPr>
        <w:pStyle w:val="ListParagraph"/>
        <w:numPr>
          <w:ilvl w:val="0"/>
          <w:numId w:val="2"/>
        </w:numPr>
        <w:spacing w:after="80"/>
      </w:pPr>
      <w:r>
        <w:t xml:space="preserve">Section 15 (new) — a new, standing right reserved in the Terms to request identity or substantiating documents from any applicant</w:t>
      </w:r>
    </w:p>
    <w:p>
      <w:r>
        <w:br w:type="page"/>
      </w:r>
    </w:p>
    <w:p>
      <w:pPr>
        <w:pStyle w:val="Heading1"/>
      </w:pPr>
      <w:r>
        <w:t xml:space="preserve">2. Register Search: Reasoning and Specification</w:t>
      </w:r>
    </w:p>
    <w:p>
      <w:pPr>
        <w:spacing w:after="160"/>
      </w:pPr>
      <w:r>
        <w:t xml:space="preserve">The Master Build Reference (Part Three, Section 18, “Browse &amp; Discovery Enhancements”) listed “advanced search (multi-field, not just keyword)” and “tier filters” as vague, deferred ideas. Working through who actually uses this kind of search, and how, produced a simpler, more specific, and considerably smaller design than the placeholder implied. This section replaces that placeholder.</w:t>
      </w:r>
    </w:p>
    <w:p>
      <w:pPr>
        <w:spacing w:after="160"/>
      </w:pPr>
      <w:r>
        <w:t xml:space="preserve">The headline result: there are no click-filters at all. There is one search box.</w:t>
      </w:r>
    </w:p>
    <w:p>
      <w:pPr>
        <w:pStyle w:val="Heading2"/>
      </w:pPr>
      <w:r>
        <w:t xml:space="preserve">2.1 Why Click-Filters Were Rejected</w:t>
      </w:r>
    </w:p>
    <w:p>
      <w:pPr>
        <w:spacing w:after="160"/>
      </w:pPr>
      <w:r>
        <w:t xml:space="preserve">A filter only works well as a set of clickable buttons if the list of possible values is short, stable, and known in advance. The moment a field's real-world values are open-ended, buttons stop working at any honest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Field</w:t>
            </w:r>
          </w:p>
        </w:tc>
        <w:tc>
          <w:tcPr>
            <w:tcW w:type="dxa" w:w="7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Why It Doesn't Suit a Click-Filter</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w:t>
            </w:r>
          </w:p>
        </w:tc>
        <w:tc>
          <w:tcPr>
            <w:tcW w:type="dxa" w:w="7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Unbounded in practice — limited to 8 broad categories today only because the Register is small. A real applicant base will include professions outside any fixed list.</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Location</w:t>
            </w:r>
          </w:p>
        </w:tc>
        <w:tc>
          <w:tcPr>
            <w:tcW w:type="dxa" w:w="7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Thousands of possible cities/towns, before even considering international members. No honest fixed button list exists.</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Package Tier</w:t>
            </w:r>
          </w:p>
        </w:tc>
        <w:tc>
          <w:tcPr>
            <w:tcW w:type="dxa" w:w="7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Genuinely small and stable (3 values) — the one field that could work as a filter — but judged not meaningfully useful to a visitor's actual search intent, and dropped on that basis, not a technical one.</w:t>
            </w:r>
          </w:p>
        </w:tc>
      </w:tr>
    </w:tbl>
    <w:p>
      <w:pPr>
        <w:pStyle w:val="Heading2"/>
      </w:pPr>
      <w:r>
        <w:t xml:space="preserve">2.2 Why This Isn't a Directory</w:t>
      </w:r>
    </w:p>
    <w:p>
      <w:pPr>
        <w:spacing w:after="160"/>
      </w:pPr>
      <w:r>
        <w:t xml:space="preserve">Organisation and designation were deliberately excluded from search. IconsHerald is not a lookup directory that visitors search the way they'd search a phone book — the homepage states this directly (“Not a directory. Not a social network.”). A visitor either already has a name in mind, or is browsing to encounter people they don't already know. Neither behaviour matches directory-style lookup-by-institution.</w:t>
      </w:r>
    </w:p>
    <w:p>
      <w:pPr>
        <w:pStyle w:val="Heading2"/>
      </w:pPr>
      <w:r>
        <w:t xml:space="preserve">2.3 Why “Free Entry, No Cleanup” Needs Search, Not Filtering</w:t>
      </w:r>
    </w:p>
    <w:p>
      <w:pPr>
        <w:spacing w:after="160"/>
      </w:pPr>
      <w:r>
        <w:t xml:space="preserve">The Speciality / Super-Speciality field (Section 3) is free text, entered by the applicant, not reviewed or standardised by the founder — there are too many specialist terms across too many professions for one person to curate a master list. Free, uncleaned text cannot be turned into reliable filter buttons: two cardiologists might enter “Cardiology,” “Interventional Cardiology,” and “Cardiac Care” respectively, and a button for any one phrase would miss the other two. Search tolerates this kind of phrasing variation far better than an exact-match filter button does.</w:t>
      </w:r>
    </w:p>
    <w:p>
      <w:pPr>
        <w:pStyle w:val="Heading2"/>
      </w:pPr>
      <w:r>
        <w:t xml:space="preserve">2.4 Why Typo-Tolerant Matching Was Declined for Now</w:t>
      </w:r>
    </w:p>
    <w:p>
      <w:pPr>
        <w:spacing w:after="160"/>
      </w:pPr>
      <w:r>
        <w:t xml:space="preserve">Google-style spelling correction is built on years of query data and language models — a different order of engineering effort than anything else here. A lighter, bounded fuzzy-matching option is feasible later, but it is a genuine, separate feature with real cost, not a free add-on bundled into “search.” It is explicitly out of scope — see Section 3.4.</w:t>
      </w:r>
    </w:p>
    <w:p>
      <w:pPr>
        <w:pStyle w:val="Heading1"/>
      </w:pPr>
      <w:r>
        <w:t xml:space="preserve">3. Search: Data Model and Final Specification</w:t>
      </w:r>
    </w:p>
    <w:p>
      <w:pPr>
        <w:pStyle w:val="Heading2"/>
      </w:pPr>
      <w:r>
        <w:t xml:space="preserve">3.1 Data Model Addition: Speciality / Super-Speciality</w:t>
      </w:r>
    </w:p>
    <w:p>
      <w:pPr>
        <w:spacing w:after="160"/>
      </w:pPr>
      <w:r>
        <w:t xml:space="preserve">A new field is added to the Profile entity (Master Build Reference, Section 7.1), separate from the existing chips[] field (which renders as small badges for presentation and is not intended to be 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Field</w:t>
            </w:r>
          </w:p>
        </w:tc>
        <w:tc>
          <w:tcPr>
            <w:tcW w:type="dxa" w:w="18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Type</w:t>
            </w:r>
          </w:p>
        </w:tc>
        <w:tc>
          <w:tcPr>
            <w:tcW w:type="dxa" w:w="5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Notes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specialities</w:t>
            </w:r>
          </w:p>
        </w:tc>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array of strings, max 3</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Free text, entered by the applicant on the questionnaire. Not reviewed or standardised by editorial staff. Examples: “Cardiology,” “Python,” “Patent Law,” “Urban Planning.”</w:t>
            </w:r>
          </w:p>
        </w:tc>
      </w:tr>
    </w:tbl>
    <w:p>
      <w:pPr>
        <w:spacing w:after="160"/>
      </w:pPr>
      <w:r>
        <w:t xml:space="preserve">Questionnaire field added to every package, within “Professional Identity” or equivalent: “Your speciality or area of expertise (up to three) — e.g. Cardiology, Python, Urban Planning. This helps the right people find you when searching the Register.”</w:t>
      </w:r>
    </w:p>
    <w:p>
      <w:pPr>
        <w:pBdr>
          <w:left w:val="single" w:color="8A6A1F" w:sz="12" w:space="8"/>
        </w:pBdr>
        <w:spacing w:after="200" w:before="80"/>
        <w:ind w:left="360"/>
      </w:pPr>
      <w:r>
        <w:rPr>
          <w:i/>
          <w:iCs/>
          <w:color w:val="595959"/>
          <w:sz w:val="21"/>
          <w:szCs w:val="21"/>
        </w:rPr>
        <w:t xml:space="preserve">specialities[] is kept separate from chips[] specifically so search never inadvertently matches against award names or credential abbreviations — it is always a deliberate, applicant-authored statement of expertise, nothing else.</w:t>
      </w:r>
    </w:p>
    <w:p>
      <w:pPr>
        <w:pStyle w:val="Heading2"/>
      </w:pPr>
      <w:r>
        <w:t xml:space="preserve">3.2 Final Specification — Remove</w:t>
      </w:r>
    </w:p>
    <w:p>
      <w:pPr>
        <w:pStyle w:val="ListParagraph"/>
        <w:numPr>
          <w:ilvl w:val="0"/>
          <w:numId w:val="2"/>
        </w:numPr>
        <w:spacing w:after="80"/>
      </w:pPr>
      <w:r>
        <w:t xml:space="preserve">The existing profession tab strip as a means of filtering search results. It may remain on the Register page purely as a browse convenience for the 8 broad categories already defined — search does not depend on it.</w:t>
      </w:r>
    </w:p>
    <w:p>
      <w:pPr>
        <w:pStyle w:val="ListParagraph"/>
        <w:numPr>
          <w:ilvl w:val="0"/>
          <w:numId w:val="2"/>
        </w:numPr>
        <w:spacing w:after="80"/>
      </w:pPr>
      <w:r>
        <w:t xml:space="preserve">Any plan for Package Tier or Location as click-filter buttons.</w:t>
      </w:r>
    </w:p>
    <w:p>
      <w:pPr>
        <w:pStyle w:val="Heading2"/>
      </w:pPr>
      <w:r>
        <w:t xml:space="preserve">3.3 Final Specification — Build</w:t>
      </w:r>
    </w:p>
    <w:p>
      <w:pPr>
        <w:pStyle w:val="ListParagraph"/>
        <w:numPr>
          <w:ilvl w:val="0"/>
          <w:numId w:val="2"/>
        </w:numPr>
        <w:spacing w:after="80"/>
      </w:pPr>
      <w:r>
        <w:rPr>
          <w:b/>
          <w:bCs/>
        </w:rPr>
        <w:t xml:space="preserve">One search box. </w:t>
      </w:r>
      <w:r>
        <w:t xml:space="preserve">The same search input already present on the Register page, with its matching logic expanded.</w:t>
      </w:r>
    </w:p>
    <w:p>
      <w:pPr>
        <w:pStyle w:val="ListParagraph"/>
        <w:numPr>
          <w:ilvl w:val="0"/>
          <w:numId w:val="2"/>
        </w:numPr>
        <w:spacing w:after="80"/>
      </w:pPr>
      <w:r>
        <w:rPr>
          <w:b/>
          <w:bCs/>
        </w:rPr>
        <w:t xml:space="preserve">Matches against four fields only: </w:t>
      </w:r>
      <w:r>
        <w:t xml:space="preserve">Name, Profession (the category label), Location, and Speciality.</w:t>
      </w:r>
    </w:p>
    <w:p>
      <w:pPr>
        <w:pStyle w:val="ListParagraph"/>
        <w:numPr>
          <w:ilvl w:val="0"/>
          <w:numId w:val="2"/>
        </w:numPr>
        <w:spacing w:after="80"/>
      </w:pPr>
      <w:r>
        <w:rPr>
          <w:b/>
          <w:bCs/>
        </w:rPr>
        <w:t xml:space="preserve">Organisation and designation are explicitly excluded </w:t>
      </w:r>
      <w:r>
        <w:t xml:space="preserve">from the search-matched text.</w:t>
      </w:r>
    </w:p>
    <w:p>
      <w:pPr>
        <w:pStyle w:val="ListParagraph"/>
        <w:numPr>
          <w:ilvl w:val="0"/>
          <w:numId w:val="2"/>
        </w:numPr>
        <w:spacing w:after="80"/>
      </w:pPr>
      <w:r>
        <w:rPr>
          <w:b/>
          <w:bCs/>
        </w:rPr>
        <w:t xml:space="preserve">Multi-word, match-all-terms behaviour. </w:t>
      </w:r>
      <w:r>
        <w:t xml:space="preserve">A query such as “cardiologist Cochin” only returns profiles where both terms are found.</w:t>
      </w:r>
    </w:p>
    <w:p>
      <w:pPr>
        <w:pStyle w:val="ListParagraph"/>
        <w:numPr>
          <w:ilvl w:val="0"/>
          <w:numId w:val="2"/>
        </w:numPr>
        <w:spacing w:after="80"/>
      </w:pPr>
      <w:r>
        <w:rPr>
          <w:b/>
          <w:bCs/>
        </w:rPr>
        <w:t xml:space="preserve">Exact substring matching only. </w:t>
      </w:r>
      <w:r>
        <w:t xml:space="preserve">No fuzzy matching, no typo tolerance in this round.</w:t>
      </w:r>
    </w:p>
    <w:p>
      <w:pPr>
        <w:pStyle w:val="ListParagraph"/>
        <w:numPr>
          <w:ilvl w:val="0"/>
          <w:numId w:val="2"/>
        </w:numPr>
        <w:spacing w:after="80"/>
      </w:pPr>
      <w:r>
        <w:rPr>
          <w:b/>
          <w:bCs/>
        </w:rPr>
        <w:t xml:space="preserve">Empty fields are simply skipped. </w:t>
      </w:r>
      <w:r>
        <w:t xml:space="preserve">No special-case handling needed for a profile with no specialities entered.</w:t>
      </w:r>
    </w:p>
    <w:p>
      <w:pPr>
        <w:pStyle w:val="Heading2"/>
      </w:pPr>
      <w:r>
        <w:t xml:space="preserve">3.4 Worked Example — Verified Against the Live Demo</w:t>
      </w:r>
    </w:p>
    <w:p>
      <w:pPr>
        <w:spacing w:after="160"/>
      </w:pPr>
      <w:r>
        <w:t xml:space="preserve">A profile for “Dr. Arjun Krishnamurthy,” profession “Doctor,” location “Kochi,” specialities [“Interventional Cardiology,” “Structural Heart Disease”]:</w:t>
      </w:r>
    </w:p>
    <w:p>
      <w:pPr>
        <w:pStyle w:val="ListParagraph"/>
        <w:numPr>
          <w:ilvl w:val="0"/>
          <w:numId w:val="2"/>
        </w:numPr>
        <w:spacing w:after="80"/>
      </w:pPr>
      <w:r>
        <w:t xml:space="preserve">Searching “Arjun” → matches (name).</w:t>
      </w:r>
    </w:p>
    <w:p>
      <w:pPr>
        <w:pStyle w:val="ListParagraph"/>
        <w:numPr>
          <w:ilvl w:val="0"/>
          <w:numId w:val="2"/>
        </w:numPr>
        <w:spacing w:after="80"/>
      </w:pPr>
      <w:r>
        <w:t xml:space="preserve">Searching “cardiologist” → does NOT match (the stored text says “Interventional Cardiology,” not “cardiologist” — the expected, accepted limitation of exact-substring matching).</w:t>
      </w:r>
    </w:p>
    <w:p>
      <w:pPr>
        <w:pStyle w:val="ListParagraph"/>
        <w:numPr>
          <w:ilvl w:val="0"/>
          <w:numId w:val="2"/>
        </w:numPr>
        <w:spacing w:after="80"/>
      </w:pPr>
      <w:r>
        <w:t xml:space="preserve">Searching “cardiology Kochi” → matches (both terms present).</w:t>
      </w:r>
    </w:p>
    <w:p>
      <w:pPr>
        <w:pStyle w:val="ListParagraph"/>
        <w:numPr>
          <w:ilvl w:val="0"/>
          <w:numId w:val="2"/>
        </w:numPr>
        <w:spacing w:after="80"/>
      </w:pPr>
      <w:r>
        <w:t xml:space="preserve">Searching “Amrita” (his organisation) → does NOT match, by design.</w:t>
      </w:r>
    </w:p>
    <w:p>
      <w:pPr>
        <w:pBdr>
          <w:left w:val="single" w:color="8A6A1F" w:sz="12" w:space="8"/>
        </w:pBdr>
        <w:spacing w:after="200" w:before="80"/>
        <w:ind w:left="360"/>
      </w:pPr>
      <w:r>
        <w:rPr>
          <w:i/>
          <w:iCs/>
          <w:color w:val="595959"/>
          <w:sz w:val="21"/>
          <w:szCs w:val="21"/>
        </w:rPr>
        <w:t xml:space="preserve">This worked example was executed live against the actual demo file's search index using a headless browser, not reasoned through on paper — all four lines passed as specified.</w:t>
      </w:r>
    </w:p>
    <w:p>
      <w:pPr>
        <w:pStyle w:val="Heading2"/>
      </w:pPr>
      <w:r>
        <w:t xml:space="preserve">3.5 In Memoriam Is Unaffected</w:t>
      </w:r>
    </w:p>
    <w:p>
      <w:pPr>
        <w:spacing w:after="160"/>
      </w:pPr>
      <w:r>
        <w:t xml:space="preserve">This entire section applies to the Register (living professionals) only. In Memoriam has no search box and none is added here — its small, deliberately quiet scale does not need one.</w:t>
      </w:r>
    </w:p>
    <w:p>
      <w:pPr>
        <w:pStyle w:val="Heading2"/>
      </w:pPr>
      <w:r>
        <w:t xml:space="preserve">3.6 Explicitly Out of Scope (Not This Round)</w:t>
      </w:r>
    </w:p>
    <w:p>
      <w:pPr>
        <w:pStyle w:val="ListParagraph"/>
        <w:numPr>
          <w:ilvl w:val="0"/>
          <w:numId w:val="2"/>
        </w:numPr>
        <w:spacing w:after="80"/>
      </w:pPr>
      <w:r>
        <w:t xml:space="preserve">Fuzzy or typo-tolerant matching of any kind.</w:t>
      </w:r>
    </w:p>
    <w:p>
      <w:pPr>
        <w:pStyle w:val="ListParagraph"/>
        <w:numPr>
          <w:ilvl w:val="0"/>
          <w:numId w:val="2"/>
        </w:numPr>
        <w:spacing w:after="80"/>
      </w:pPr>
      <w:r>
        <w:t xml:space="preserve">Full-text search across biography prose, career timelines, or any other long-form questionnaire answer.</w:t>
      </w:r>
    </w:p>
    <w:p>
      <w:pPr>
        <w:pStyle w:val="ListParagraph"/>
        <w:numPr>
          <w:ilvl w:val="0"/>
          <w:numId w:val="2"/>
        </w:numPr>
        <w:spacing w:after="80"/>
      </w:pPr>
      <w:r>
        <w:t xml:space="preserve">Any filter button UI for Profession, Location, or Tier.</w:t>
      </w:r>
    </w:p>
    <w:p>
      <w:pPr>
        <w:pStyle w:val="ListParagraph"/>
        <w:numPr>
          <w:ilvl w:val="0"/>
          <w:numId w:val="2"/>
        </w:numPr>
        <w:spacing w:after="80"/>
      </w:pPr>
      <w:r>
        <w:t xml:space="preserve">Standardising or curating the specialities[] vocabulary.</w:t>
      </w:r>
    </w:p>
    <w:p>
      <w:r>
        <w:br w:type="page"/>
      </w:r>
    </w:p>
    <w:p>
      <w:pPr>
        <w:pStyle w:val="Heading1"/>
      </w:pPr>
      <w:r>
        <w:t xml:space="preserve">4. Homepage Hero Button: “Explore the Icons”</w:t>
      </w:r>
    </w:p>
    <w:p>
      <w:pPr>
        <w:spacing w:after="160"/>
      </w:pPr>
      <w:r>
        <w:t xml:space="preserve">The hero button beneath the homepage headline is renamed. This is a label change only — it does not rename the Register itself, and no other instance of the word “Register” elsewhere on the site is affected.</w:t>
      </w:r>
    </w:p>
    <w:p>
      <w:pPr>
        <w:spacing w:after="100"/>
      </w:pPr>
      <w:r>
        <w:rPr>
          <w:b/>
          <w:bCs/>
          <w:color w:val="8A2E24"/>
        </w:rPr>
        <w:t xml:space="preserve">✗  </w:t>
      </w:r>
      <w:r>
        <w:rPr>
          <w:strike/>
          <w:color w:val="8A2E24"/>
        </w:rPr>
        <w:t xml:space="preserve">Explore the Register →</w:t>
      </w:r>
      <w:r>
        <w:rPr>
          <w:color w:val="595959"/>
        </w:rPr>
        <w:t xml:space="preserve">   →   </w:t>
      </w:r>
      <w:r>
        <w:rPr>
          <w:b/>
          <w:bCs/>
          <w:color w:val="2E5339"/>
        </w:rPr>
        <w:t>✓  Explore the Icons →</w:t>
      </w:r>
    </w:p>
    <w:p>
      <w:pPr>
        <w:spacing w:after="160"/>
      </w:pPr>
      <w:r>
        <w:t xml:space="preserve">This was deliberately scoped as narrowly as possible after an earlier, broader version of the idea (renaming members themselves to “Icons,” or renaming the Register's name throughout the site) was considered and explicitly declined — see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Element</w:t>
            </w:r>
          </w:p>
        </w:tc>
        <w:tc>
          <w:tcPr>
            <w:tcW w:type="dxa" w:w="5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Status</w:t>
            </w:r>
          </w:p>
        </w:tc>
      </w:tr>
      <w:tr>
        <w:tc>
          <w:tcPr>
            <w:tcW w:type="dxa" w:w="4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Homepage hero button</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Changed — now reads “Explore the Icons →”</w:t>
            </w:r>
          </w:p>
        </w:tc>
      </w:tr>
      <w:tr>
        <w:tc>
          <w:tcPr>
            <w:tcW w:type="dxa" w:w="4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Secondary homepage button (“Browse The Full Register →,” appears further down the page, beneath the specimen profile cards)</w:t>
            </w:r>
          </w:p>
        </w:tc>
        <w:tc>
          <w:tcPr>
            <w:tcW w:type="dxa" w:w="5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Unchanged — deliberately left as-is</w:t>
            </w:r>
          </w:p>
        </w:tc>
      </w:tr>
      <w:tr>
        <w:tc>
          <w:tcPr>
            <w:tcW w:type="dxa" w:w="4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Page title, breadcrumb, FAQ, legal pages, all other references to “The IconsHerald Register”</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Unchanged</w:t>
            </w:r>
          </w:p>
        </w:tc>
      </w:tr>
    </w:tbl>
    <w:p>
      <w:pPr>
        <w:shd w:fill="1A1A1A" w:val="clear"/>
        <w:spacing w:after="240" w:before="120"/>
        <w:ind w:left="200" w:right="200"/>
      </w:pPr>
      <w:r>
        <w:rPr>
          <w:rFonts w:ascii="Consolas" w:cs="Consolas" w:eastAsia="Consolas" w:hAnsi="Consolas"/>
          <w:color w:val="F2E9D0"/>
          <w:sz w:val="20"/>
          <w:szCs w:val="20"/>
        </w:rPr>
        <w:t xml:space="preserve">Only the single hero button's text changes. Do not propagate “Icons” into the page title, breadcrumb, URL, FAQ, or legal documents. “The IconsHerald Register” remains the section's actual name everywhere except this one button.</w:t>
      </w:r>
    </w:p>
    <w:p>
      <w:r>
        <w:br w:type="page"/>
      </w:r>
    </w:p>
    <w:p>
      <w:pPr>
        <w:pStyle w:val="Heading1"/>
      </w:pPr>
      <w:r>
        <w:t xml:space="preserve">5. Homepage Section Order: Pricing Now Precedes In Memoriam</w:t>
      </w:r>
    </w:p>
    <w:p>
      <w:pPr>
        <w:spacing w:after="160"/>
      </w:pPr>
      <w:r>
        <w:t xml:space="preserve">The homepage's Editorial Services pricing section and the In Memoriam section have swapped places. Pricing now appears first; In Memoriam follows it. [Superseded by a further move, recorded in the Master Build Reference v3.0, Part Four, Section 4 — In Memoriam has since been relocated again, to immediately before the closing call-to-action band, after the “Browse by profession” grid. The order below reflects that later, current state, not the original pricing-then-In-Memoriam swap this section first described.]</w:t>
      </w:r>
    </w:p>
    <w:p>
      <w:pPr>
        <w:pStyle w:val="Heading2"/>
      </w:pPr>
      <w:r>
        <w:t xml:space="preserve">5.1 Current, Correct Order</w:t>
      </w:r>
    </w:p>
    <w:p>
      <w:pPr>
        <w:pStyle w:val="ListParagraph"/>
        <w:numPr>
          <w:ilvl w:val="0"/>
          <w:numId w:val="3"/>
        </w:numPr>
        <w:spacing w:after="80"/>
      </w:pPr>
      <w:r>
        <w:t xml:space="preserve">Hero (headline, supporting line, two buttons)</w:t>
      </w:r>
    </w:p>
    <w:p>
      <w:pPr>
        <w:pStyle w:val="ListParagraph"/>
        <w:numPr>
          <w:ilvl w:val="0"/>
          <w:numId w:val="3"/>
        </w:numPr>
        <w:spacing w:after="80"/>
      </w:pPr>
      <w:r>
        <w:t xml:space="preserve">Selected profiles from the Register (specimen cards with editorial excerpts)</w:t>
      </w:r>
    </w:p>
    <w:p>
      <w:pPr>
        <w:pStyle w:val="ListParagraph"/>
        <w:numPr>
          <w:ilvl w:val="0"/>
          <w:numId w:val="3"/>
        </w:numPr>
        <w:spacing w:after="80"/>
      </w:pPr>
      <w:r>
        <w:t xml:space="preserve">What Is IconsHerald (explanatory section)</w:t>
      </w:r>
    </w:p>
    <w:p>
      <w:pPr>
        <w:pStyle w:val="ListParagraph"/>
        <w:numPr>
          <w:ilvl w:val="0"/>
          <w:numId w:val="3"/>
        </w:numPr>
        <w:spacing w:after="80"/>
      </w:pPr>
      <w:r>
        <w:t xml:space="preserve">Editorial Services pricing (three package cards)</w:t>
      </w:r>
    </w:p>
    <w:p>
      <w:pPr>
        <w:pStyle w:val="ListParagraph"/>
        <w:numPr>
          <w:ilvl w:val="0"/>
          <w:numId w:val="3"/>
        </w:numPr>
        <w:spacing w:after="80"/>
      </w:pPr>
      <w:r>
        <w:t xml:space="preserve">Browse by profession (category grid)</w:t>
      </w:r>
    </w:p>
    <w:p>
      <w:pPr>
        <w:pStyle w:val="ListParagraph"/>
        <w:numPr>
          <w:ilvl w:val="0"/>
          <w:numId w:val="3"/>
        </w:numPr>
        <w:spacing w:after="80"/>
      </w:pPr>
      <w:r>
        <w:t xml:space="preserve">In Memoriam (homepage card) — moved here from between pricing and the profession grid; see the superseding note above</w:t>
      </w:r>
    </w:p>
    <w:p>
      <w:pPr>
        <w:pStyle w:val="ListParagraph"/>
        <w:numPr>
          <w:ilvl w:val="0"/>
          <w:numId w:val="3"/>
        </w:numPr>
        <w:spacing w:after="80"/>
      </w:pPr>
      <w:r>
        <w:t xml:space="preserve">Closing call-to-action band</w:t>
      </w:r>
    </w:p>
    <w:p>
      <w:pPr>
        <w:spacing w:after="160"/>
      </w:pPr>
      <w:r>
        <w:t xml:space="preserve">This is a reordering of two existing sections relative to one another. Neither section's own internal content changed as a result of the move — see Section 6 for the one piece of In Memoriam content that did change.</w:t>
      </w:r>
    </w:p>
    <w:p>
      <w:r>
        <w:br w:type="page"/>
      </w:r>
    </w:p>
    <w:p>
      <w:pPr>
        <w:pStyle w:val="Heading1"/>
      </w:pPr>
      <w:r>
        <w:t xml:space="preserve">6. In Memoriam Homepage Card: Enquiry Line Added</w:t>
      </w:r>
    </w:p>
    <w:p>
      <w:pPr>
        <w:spacing w:after="160"/>
      </w:pPr>
      <w:r>
        <w:t xml:space="preserve">A short supplementary line was added inside the existing In Memoriam homepage card, beneath its existing description text and above the “Visit In Memoriam” button. The button itself, its destination, and its label are all unchanged.</w:t>
      </w:r>
    </w:p>
    <w:p>
      <w:pPr>
        <w:spacing w:after="160"/>
      </w:pPr>
      <w:r>
        <w:rPr>
          <w:b/>
          <w:bCs/>
        </w:rPr>
        <w:t xml:space="preserve">Exact text added: </w:t>
      </w:r>
      <w:r>
        <w:rPr>
          <w:i/>
          <w:iCs/>
        </w:rPr>
        <w:t xml:space="preserve">“For enquiries, write to founder@iconsherald.com or visit the Contact page.” [Updated from hello@iconsherald.com per the founder/Claude conversation of June 2026 — founder@iconsherald.com is the live, personally-monitored address during the current demo/market-testing phase; see Master Build Reference v3.0, Part Four, Section 3.2.]</w:t>
      </w:r>
    </w:p>
    <w:p>
      <w:pPr>
        <w:pBdr>
          <w:left w:val="single" w:color="8A6A1F" w:sz="12" w:space="8"/>
        </w:pBdr>
        <w:spacing w:after="200" w:before="80"/>
        <w:ind w:left="360"/>
      </w:pPr>
      <w:r>
        <w:rPr>
          <w:i/>
          <w:iCs/>
          <w:color w:val="595959"/>
          <w:sz w:val="21"/>
          <w:szCs w:val="21"/>
        </w:rPr>
        <w:t xml:space="preserve">This is a supplement, not a replacement. An earlier idea to replace the “Visit In Memoriam” button with a direct “Contact for details” button was considered and explicitly declined — the dedicated In Memoriam page (sealed at publication, commissioned by family, three years included) does real explanatory work that a generic contact form would skip past. The button stays; the line is additive.</w:t>
      </w:r>
    </w:p>
    <w:p>
      <w:r>
        <w:br w:type="page"/>
      </w:r>
    </w:p>
    <w:p>
      <w:pPr>
        <w:pStyle w:val="Heading1"/>
      </w:pPr>
      <w:r>
        <w:t xml:space="preserve">7. Annual Maintenance Timing: “From the Second Year”</w:t>
      </w:r>
    </w:p>
    <w:p>
      <w:pPr>
        <w:spacing w:after="160"/>
      </w:pPr>
      <w:r>
        <w:t xml:space="preserve">Every place the living-Register pricing is displayed now explicitly states that Annual Profile Maintenance &amp; Verification begins in the member's second year, not alongside the one-time creation fee. This corrects a real, observed ambiguity: a first-time visitor seeing “₹6,000” and “+ ₹3,000/yr” on the same card, at the same moment, could reasonably misread the total as due immediately.</w:t>
      </w:r>
    </w:p>
    <w:p>
      <w:pPr>
        <w:pStyle w:val="Heading2"/>
      </w:pPr>
      <w:r>
        <w:t xml:space="preserve">7.1 Before / After</w:t>
      </w:r>
    </w:p>
    <w:p>
      <w:pPr>
        <w:spacing w:after="100"/>
      </w:pPr>
      <w:r>
        <w:rPr>
          <w:b/>
          <w:bCs/>
          <w:color w:val="8A2E24"/>
        </w:rPr>
        <w:t xml:space="preserve">✗  </w:t>
      </w:r>
      <w:r>
        <w:rPr>
          <w:strike/>
          <w:color w:val="8A2E24"/>
        </w:rPr>
        <w:t xml:space="preserve">A one-time editorial fee composes your profile. Annual Profile Maintenance — ₹3,000 + GST per year — preserves it.</w:t>
      </w:r>
      <w:r>
        <w:rPr>
          <w:color w:val="595959"/>
        </w:rPr>
        <w:t xml:space="preserve">   →   </w:t>
      </w:r>
      <w:r>
        <w:rPr>
          <w:b/>
          <w:bCs/>
          <w:color w:val="2E5339"/>
        </w:rPr>
        <w:t>✓  A one-time editorial fee composes your profile. Annual Profile Maintenance — ₹3,000 + GST per year, from the second year — preserves it.</w:t>
      </w:r>
    </w:p>
    <w:p>
      <w:pPr>
        <w:spacing w:after="100"/>
      </w:pPr>
      <w:r>
        <w:rPr>
          <w:b/>
          <w:bCs/>
          <w:color w:val="8A2E24"/>
        </w:rPr>
        <w:t xml:space="preserve">✗  </w:t>
      </w:r>
      <w:r>
        <w:rPr>
          <w:strike/>
          <w:color w:val="8A2E24"/>
        </w:rPr>
        <w:t xml:space="preserve">+ ₹3,000 + GST / yr maintenance</w:t>
      </w:r>
      <w:r>
        <w:rPr>
          <w:color w:val="595959"/>
        </w:rPr>
        <w:t xml:space="preserve">   →   </w:t>
      </w:r>
      <w:r>
        <w:rPr>
          <w:b/>
          <w:bCs/>
          <w:color w:val="2E5339"/>
        </w:rPr>
        <w:t>✓  + ₹3,000 + GST / yr maintenance, from year 2</w:t>
      </w:r>
    </w:p>
    <w:p>
      <w:pPr>
        <w:pStyle w:val="Heading2"/>
      </w:pPr>
      <w:r>
        <w:t xml:space="preserve">7.2 Every Location This Was Corrected</w:t>
      </w:r>
    </w:p>
    <w:p>
      <w:pPr>
        <w:pStyle w:val="ListParagraph"/>
        <w:numPr>
          <w:ilvl w:val="0"/>
          <w:numId w:val="2"/>
        </w:numPr>
        <w:spacing w:after="80"/>
      </w:pPr>
      <w:r>
        <w:t xml:space="preserve">Homepage pricing intro line and all three package cards (Emerging, Accomplished, Distinguished)</w:t>
      </w:r>
    </w:p>
    <w:p>
      <w:pPr>
        <w:pStyle w:val="ListParagraph"/>
        <w:numPr>
          <w:ilvl w:val="0"/>
          <w:numId w:val="2"/>
        </w:numPr>
        <w:spacing w:after="80"/>
      </w:pPr>
      <w:r>
        <w:t xml:space="preserve">Full Editorial Services &amp; Pricing page — intro line and all three package cards</w:t>
      </w:r>
    </w:p>
    <w:p>
      <w:pPr>
        <w:pStyle w:val="ListParagraph"/>
        <w:numPr>
          <w:ilvl w:val="0"/>
          <w:numId w:val="2"/>
        </w:numPr>
        <w:spacing w:after="80"/>
      </w:pPr>
      <w:r>
        <w:t xml:space="preserve">FAQ — “What does an editorial profile cost?” and “Why is there an annual fee if profile creation is one-time?”</w:t>
      </w:r>
    </w:p>
    <w:p>
      <w:pPr>
        <w:pBdr>
          <w:left w:val="single" w:color="8A6A1F" w:sz="12" w:space="8"/>
        </w:pBdr>
        <w:spacing w:after="200" w:before="80"/>
        <w:ind w:left="360"/>
      </w:pPr>
      <w:r>
        <w:rPr>
          <w:i/>
          <w:iCs/>
          <w:color w:val="595959"/>
          <w:sz w:val="21"/>
          <w:szCs w:val="21"/>
        </w:rPr>
        <w:t xml:space="preserve">The apply page's package selector dropdown (“Emerging — ₹6,000 one-time,” etc.) was checked and required no change — it states only the one-time fee, with no mention of the annual fee alongside it, so no ambiguity existed there to begin with.</w:t>
      </w:r>
    </w:p>
    <w:p>
      <w:pPr>
        <w:pBdr>
          <w:left w:val="single" w:color="8A2E24" w:sz="12" w:space="8"/>
        </w:pBdr>
        <w:spacing w:after="200" w:before="80"/>
        <w:ind w:left="360"/>
      </w:pPr>
      <w:r>
        <w:rPr>
          <w:i/>
          <w:iCs/>
          <w:color w:val="8A2E24"/>
          <w:sz w:val="21"/>
          <w:szCs w:val="21"/>
        </w:rPr>
        <w:t xml:space="preserve">In Memoriam pricing is unaffected by this section. Its mechanic is different — three years are included in the initial ₹25,000 + GST commission fee, with optional continuation afterward — not an annual fee starting in year two. Do not apply this “from year 2” language to any In Memoriam pricing text.</w:t>
      </w:r>
    </w:p>
    <w:p>
      <w:r>
        <w:br w:type="page"/>
      </w:r>
    </w:p>
    <w:p>
      <w:pPr>
        <w:pStyle w:val="Heading1"/>
      </w:pPr>
      <w:r>
        <w:t xml:space="preserve">8. Two Confirmed Cleanup Fixes</w:t>
      </w:r>
    </w:p>
    <w:p>
      <w:pPr>
        <w:spacing w:after="160"/>
      </w:pPr>
      <w:r>
        <w:t xml:space="preserve">A separate review of the demo file (conducted independently, then verified against the actual file rather than taken on trust) found two small, genuine gaps. Both are now fixed.</w:t>
      </w:r>
    </w:p>
    <w:p>
      <w:pPr>
        <w:pStyle w:val="Heading2"/>
      </w:pPr>
      <w:r>
        <w:t xml:space="preserve">8.1 Remaining Emoji on the Individual Profile Page</w:t>
      </w:r>
    </w:p>
    <w:p>
      <w:pPr>
        <w:spacing w:after="160"/>
      </w:pPr>
      <w:r>
        <w:t xml:space="preserve">The V9 Revision Brief's icon rule (no emoji, no default icon-font glyphs anywhere on the site) had been applied to the homepage category cards, the Register's profession filter strip, and the search results cards — but one instance was missed: the category badge displayed on an individual profile page itself.</w:t>
      </w:r>
    </w:p>
    <w:p>
      <w:pPr>
        <w:spacing w:after="100"/>
      </w:pPr>
      <w:r>
        <w:rPr>
          <w:b/>
          <w:bCs/>
          <w:color w:val="8A2E24"/>
        </w:rPr>
        <w:t xml:space="preserve">✗  </w:t>
      </w:r>
      <w:r>
        <w:rPr>
          <w:strike/>
          <w:color w:val="8A2E24"/>
        </w:rPr>
        <w:t xml:space="preserve">&lt;div class="catbadge"&gt;{emoji}{Category Label}&lt;/div&gt;</w:t>
      </w:r>
      <w:r>
        <w:rPr>
          <w:color w:val="595959"/>
        </w:rPr>
        <w:t xml:space="preserve">   →   </w:t>
      </w:r>
      <w:r>
        <w:rPr>
          <w:b/>
          <w:bCs/>
          <w:color w:val="2E5339"/>
        </w:rPr>
        <w:t>✓  &lt;div class="catbadge"&gt;{Category Label}&lt;/div&gt;</w:t>
      </w:r>
    </w:p>
    <w:p>
      <w:pPr>
        <w:spacing w:after="160"/>
      </w:pPr>
      <w:r>
        <w:t xml:space="preserve">The emoji character has been removed from this badge. The category label text is unaffected.</w:t>
      </w:r>
    </w:p>
    <w:p>
      <w:pPr>
        <w:pStyle w:val="Heading2"/>
      </w:pPr>
      <w:r>
        <w:t xml:space="preserve">8.2 Orphaned Founding Member CSS</w:t>
      </w:r>
    </w:p>
    <w:p>
      <w:pPr>
        <w:spacing w:after="160"/>
      </w:pPr>
      <w:r>
        <w:t xml:space="preserve">Three CSS rules from the original Founding Member program — .found-banner-np, .found-feat-grid, and .fmbadge — remained defined in the stylesheet after every piece of markup that referenced them was removed during the V9 build. They were confirmed, by searching the entire file, to have zero remaining references anywhere — no visitor could ever have seen a Founding Member badge or banner as a result of their presence. They have now been deleted outright.</w:t>
      </w:r>
    </w:p>
    <w:p>
      <w:pPr>
        <w:pBdr>
          <w:left w:val="single" w:color="8A6A1F" w:sz="12" w:space="8"/>
        </w:pBdr>
        <w:spacing w:after="200" w:before="80"/>
        <w:ind w:left="360"/>
      </w:pPr>
      <w:r>
        <w:rPr>
          <w:i/>
          <w:iCs/>
          <w:color w:val="595959"/>
          <w:sz w:val="21"/>
          <w:szCs w:val="21"/>
        </w:rPr>
        <w:t xml:space="preserve">This was a tidiness fix, not a functional one. Nothing visible to a visitor changed as a result of Section 8.2; it simply removes dead code that could otherwise confuse a future reader of the stylesheet into thinking the feature was still partially active.</w:t>
      </w:r>
    </w:p>
    <w:p>
      <w:r>
        <w:br w:type="page"/>
      </w:r>
    </w:p>
    <w:p>
      <w:pPr>
        <w:pStyle w:val="Heading1"/>
      </w:pPr>
      <w:r>
        <w:t xml:space="preserve">9. For the Record: Considered and Explicitly Declined</w:t>
      </w:r>
    </w:p>
    <w:p>
      <w:pPr>
        <w:spacing w:after="160"/>
      </w:pPr>
      <w:r>
        <w:t xml:space="preserve">Several ideas were raised, reasoned through, and deliberately not acted on. Recorded here so a future reader — founder, Cursor, or anyone else — does not mistake “not built” for “not yet decided.”</w:t>
      </w:r>
    </w:p>
    <w:p>
      <w:pPr>
        <w:pStyle w:val="ListParagraph"/>
        <w:numPr>
          <w:ilvl w:val="0"/>
          <w:numId w:val="2"/>
        </w:numPr>
        <w:spacing w:after="80"/>
      </w:pPr>
      <w:r>
        <w:rPr>
          <w:b/>
          <w:bCs/>
        </w:rPr>
        <w:t xml:space="preserve">Trophy emoji (🏆) inside achievement chips — </w:t>
      </w:r>
      <w:r>
        <w:t xml:space="preserve">considered alongside the broader icon rule, and explicitly left unchanged. This is a different element from the profession/category icons the V9 Revision Brief's icon rule targets, and was treated as a separate decision on its own terms.</w:t>
      </w:r>
    </w:p>
    <w:p>
      <w:pPr>
        <w:pStyle w:val="ListParagraph"/>
        <w:numPr>
          <w:ilvl w:val="0"/>
          <w:numId w:val="2"/>
        </w:numPr>
        <w:spacing w:after="80"/>
      </w:pPr>
      <w:r>
        <w:rPr>
          <w:b/>
          <w:bCs/>
        </w:rPr>
        <w:t xml:space="preserve">Calling members “Icons” individually (not just the homepage button) — </w:t>
      </w:r>
      <w:r>
        <w:t xml:space="preserve">declined. Asserting that every published professional has reached the level of cultural significance the word “Icon” normally implies was judged too large a claim for tiers as accessible as Emerging, and risked sounding inflated to exactly the senior, discerning members (Supreme Court advocates, department heads) the platform most wants to take it seriously.</w:t>
      </w:r>
    </w:p>
    <w:p>
      <w:pPr>
        <w:pStyle w:val="ListParagraph"/>
        <w:numPr>
          <w:ilvl w:val="0"/>
          <w:numId w:val="2"/>
        </w:numPr>
        <w:spacing w:after="80"/>
      </w:pPr>
      <w:r>
        <w:rPr>
          <w:b/>
          <w:bCs/>
        </w:rPr>
        <w:t xml:space="preserve">Renaming the Register's actual name (in legal pages, FAQ, breadcrumbs, etc.) to “Icons” — </w:t>
      </w:r>
      <w:r>
        <w:t xml:space="preserve">declined for the same reason as above, and to avoid recreating the kind of split-naming problem the Legacies → In Memoriam rename specifically corrected.</w:t>
      </w:r>
    </w:p>
    <w:p>
      <w:pPr>
        <w:pStyle w:val="ListParagraph"/>
        <w:numPr>
          <w:ilvl w:val="0"/>
          <w:numId w:val="2"/>
        </w:numPr>
        <w:spacing w:after="80"/>
      </w:pPr>
      <w:r>
        <w:rPr>
          <w:b/>
          <w:bCs/>
        </w:rPr>
        <w:t xml:space="preserve">First-year maintenance waived as a limited-time launch offer — </w:t>
      </w:r>
      <w:r>
        <w:t xml:space="preserve">discussed at length; the underlying reasoning (a discount on a future, separate charge does little against present-moment hesitation about the larger upfront fee) was found more persuasive than the original instinct. Parked, not built. If revisited, the more effective lever discussed was a discount on the creation fee itself for a stated, small number of early applicants, not a maintenance waiver.</w:t>
      </w:r>
    </w:p>
    <w:p>
      <w:pPr>
        <w:pStyle w:val="ListParagraph"/>
        <w:numPr>
          <w:ilvl w:val="0"/>
          <w:numId w:val="2"/>
        </w:numPr>
        <w:spacing w:after="80"/>
      </w:pPr>
      <w:r>
        <w:rPr>
          <w:b/>
          <w:bCs/>
        </w:rPr>
        <w:t xml:space="preserve">Hosting personal portfolios as a new product line — </w:t>
      </w:r>
      <w:r>
        <w:t xml:space="preserve">declined. Judged likely to dilute the platform's own explicit positioning (“not a directory, not a social network”) by moving toward generic web-presence hosting, and raised before any real customer had tested the existing offer.</w:t>
      </w:r>
    </w:p>
    <w:p>
      <w:pPr>
        <w:pStyle w:val="ListParagraph"/>
        <w:numPr>
          <w:ilvl w:val="0"/>
          <w:numId w:val="2"/>
        </w:numPr>
        <w:spacing w:after="80"/>
      </w:pPr>
      <w:r>
        <w:rPr>
          <w:b/>
          <w:bCs/>
        </w:rPr>
        <w:t xml:space="preserve">Discontinuing the Emerging package entirely — </w:t>
      </w:r>
      <w:r>
        <w:t xml:space="preserve">declined, once the actual workflow was examined — see Section 10. Emerging was found to be the lightest tier to deliver, not the costliest, and removing it would lose the one segment of applicant most likely to walk away rather than pay for a higher tier.</w:t>
      </w:r>
    </w:p>
    <w:p>
      <w:pPr>
        <w:pStyle w:val="ListParagraph"/>
        <w:numPr>
          <w:ilvl w:val="0"/>
          <w:numId w:val="2"/>
        </w:numPr>
        <w:spacing w:after="80"/>
      </w:pPr>
      <w:r>
        <w:rPr>
          <w:b/>
          <w:bCs/>
        </w:rPr>
        <w:t xml:space="preserve">Cutting Minor/Major Editorial Revision prices (to ₹2,000 / ₹5,000 respectively) — </w:t>
      </w:r>
      <w:r>
        <w:t xml:space="preserve">raised, then withdrawn by the founder before any reasoning was needed — confirmed as a misunderstanding, not a decision. Prices at the time stood at ₹3,000 / ₹8,000 + GST. [Note: Major Editorial Revision has since been changed to ₹5,000 + GST, unified across both Register and In Memoriam and covering package tier upgrades — see Master Build Reference v3.0, Part Four, Section 2. This was a later, separate pricing-unification decision, unrelated to the cutting proposal withdrawn here; the coincidence that both figures are ₹5,000 is just that, a coincidence.]</w:t>
      </w:r>
    </w:p>
    <w:p>
      <w:pPr>
        <w:pStyle w:val="ListParagraph"/>
        <w:numPr>
          <w:ilvl w:val="0"/>
          <w:numId w:val="2"/>
        </w:numPr>
        <w:spacing w:after="80"/>
      </w:pPr>
      <w:r>
        <w:rPr>
          <w:b/>
          <w:bCs/>
        </w:rPr>
        <w:t xml:space="preserve">In Memoriam priced at ₹50,000 for three years — </w:t>
      </w:r>
      <w:r>
        <w:t xml:space="preserve">raised, supported with real comparative research (newspaper obituary advertisement costs), and ultimately declined in favour of retaining the existing ₹25,000 + GST price — the comparative data is worth keeping as a talking point if a family ever questions the existing fee, but was not found to justify raising it.</w:t>
      </w:r>
    </w:p>
    <w:p>
      <w:r>
        <w:br w:type="page"/>
      </w:r>
    </w:p>
    <w:p>
      <w:pPr>
        <w:pStyle w:val="Heading1"/>
      </w:pPr>
      <w:r>
        <w:t xml:space="preserve">10. Correction to the Master Build Reference: The Emerging Package's Actual Definition</w:t>
      </w:r>
    </w:p>
    <w:p>
      <w:pPr>
        <w:spacing w:after="160"/>
      </w:pPr>
      <w:r>
        <w:t xml:space="preserve">This corrects existing, written documentation, not the demo file. The Master Build Reference (Part Two, Section 2) and the V8/V9 demo's own package comparison both describe Emerging as including “3–5 photographs” and imply the same questionnaire-and-interview process used for Accomplished and Distinguished. Worked through directly with the founder, the real, intended definition of Emerging turned out to be lighter and simpler than this on every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Aspect</w:t>
            </w:r>
          </w:p>
        </w:tc>
        <w:tc>
          <w:tcPr>
            <w:tcW w:type="dxa" w:w="3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As Currently Written</w:t>
            </w:r>
          </w:p>
        </w:tc>
        <w:tc>
          <w:tcPr>
            <w:tcW w:type="dxa" w:w="34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Actual, Corrected Definition</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Source material</w:t>
            </w:r>
          </w:p>
        </w:tc>
        <w:tc>
          <w:tcPr>
            <w:tcW w:type="dxa" w:w="3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Implied questionnaire, same as other tiers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Résumé / CV only, supplied by the applicant</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Interview / questionnaire</w:t>
            </w:r>
          </w:p>
        </w:tc>
        <w:tc>
          <w:tcPr>
            <w:tcW w:type="dxa" w:w="3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Same structured questionnaire process as Accomplished and Distinguished</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None — no live questionnaire, no interview call</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Photographs</w:t>
            </w:r>
          </w:p>
        </w:tc>
        <w:tc>
          <w:tcPr>
            <w:tcW w:type="dxa" w:w="3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3–5 photographs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One professional photograph</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 process</w:t>
            </w:r>
          </w:p>
        </w:tc>
        <w:tc>
          <w:tcPr>
            <w:tcW w:type="dxa" w:w="3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Implied to be comparable in depth to other tiers</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Composed directly from the submitted résumé — closer to a focused writing task than a managed editorial project</w:t>
            </w:r>
          </w:p>
        </w:tc>
      </w:tr>
    </w:tbl>
    <w:p>
      <w:pPr>
        <w:spacing w:after="160"/>
      </w:pPr>
      <w:r>
        <w:t xml:space="preserve">This was reasoned through directly: an earlier concern that “Emerging costs the same effort as the other tiers” (which had been the original motivation for considering discontinuing it — see Section 9) was traced to this exact gap between the written description and the founder's actual intended process. Once stated plainly, Emerging is structurally the lightest tier to deliver of the three, not an equally costly one priced lower.</w:t>
      </w:r>
    </w:p>
    <w:p>
      <w:pPr>
        <w:shd w:fill="1A1A1A" w:val="clear"/>
        <w:spacing w:after="240" w:before="120"/>
        <w:ind w:left="200" w:right="200"/>
      </w:pPr>
      <w:r>
        <w:rPr>
          <w:rFonts w:ascii="Consolas" w:cs="Consolas" w:eastAsia="Consolas" w:hAnsi="Consolas"/>
          <w:color w:val="F2E9D0"/>
          <w:sz w:val="20"/>
          <w:szCs w:val="20"/>
        </w:rPr>
        <w:t xml:space="preserve">This is a documentation correction. Update the Emerging package's description wherever it currently states or implies '3–5 photographs' or a questionnaire-based process — in the Master Build Reference, and in any admin/editorial workflow Cursor builds for handling Emerging applications specifically. The Emerging intake flow should be built as: applicant submits a résumé/CV and one photograph; no questionnaire is presented; the editorial team composes the profile directly from the submitted document.</w:t>
      </w:r>
    </w:p>
    <w:p>
      <w:pPr>
        <w:pBdr>
          <w:left w:val="single" w:color="8A2E24" w:sz="12" w:space="8"/>
        </w:pBdr>
        <w:spacing w:after="200" w:before="80"/>
        <w:ind w:left="360"/>
      </w:pPr>
      <w:r>
        <w:rPr>
          <w:i/>
          <w:iCs/>
          <w:color w:val="8A2E24"/>
          <w:sz w:val="21"/>
          <w:szCs w:val="21"/>
        </w:rPr>
        <w:t xml:space="preserve">This does not change the Emerging price (₹6,000, inclusive of GST, unchanged) or anything about the other two tiers. It only corrects what Emerging actually requires of the applicant and the editorial team.</w:t>
      </w:r>
    </w:p>
    <w:p>
      <w:pPr>
        <w:pStyle w:val="Heading1"/>
      </w:pPr>
      <w:r>
        <w:t xml:space="preserve">11. Trust Badges Removed: “Identity Verified” Did Not Match the Actual Process</w:t>
      </w:r>
    </w:p>
    <w:p>
      <w:pPr>
        <w:spacing w:after="160"/>
      </w:pPr>
      <w:r>
        <w:t xml:space="preserve">Reviewing the site against the founder's own question — “We say verified. Against what?” — surfaced a real gap. No part of the documented application process asks for government identity documents, certificates, or any third-party identity check. Aadhaar-based or DigiLocker-based verification was discussed as a genuine future option, but confirmed not to exist today. “Identity Verified,” as a badge displayed on every published profile, was therefore a claim the actual process did not support.</w:t>
      </w:r>
    </w:p>
    <w:p>
      <w:pPr>
        <w:pStyle w:val="Heading2"/>
      </w:pPr>
      <w:r>
        <w:t xml:space="preserve">11.1 Why the Fix Is Removal, Not a Renamed Badge</w:t>
      </w:r>
    </w:p>
    <w:p>
      <w:pPr>
        <w:spacing w:after="160"/>
      </w:pPr>
      <w:r>
        <w:t xml:space="preserve">An intermediate option — renaming the badge to something accurate, such as “Editorially Reviewed” — was considered and superseded by a sharper observation: editorial review is not a distinguishing fact about any individual profile. It is the baseline standard stated repeatedly elsewhere on the site (“acceptance is not automatic,” “every application is reviewed,” “approved by the member before publication”) and is true, by definition, of every profile that exists on the Register at all — no unreviewed profile could ever be published. Displaying it as a badge implied it was a differentiating credential, when it cannot differentiate anything. The badge concept itself, not just its wording, was the thing that didn't fit.</w:t>
      </w:r>
    </w:p>
    <w:p>
      <w:pPr>
        <w:pStyle w:val="Heading2"/>
      </w:pPr>
      <w:r>
        <w:t xml:space="preserve">11.2 What Was Removed</w:t>
      </w:r>
    </w:p>
    <w:p>
      <w:pPr>
        <w:pStyle w:val="ListParagraph"/>
        <w:numPr>
          <w:ilvl w:val="0"/>
          <w:numId w:val="2"/>
        </w:numPr>
        <w:spacing w:after="80"/>
      </w:pPr>
      <w:r>
        <w:t xml:space="preserve">The two-pill trust row (“Identity Verified” / “Member Approved”) on every individual living-Register profile page — removed entirely, with no replacement element. The layout closes up naturally; nothing else needed to be added in its place.</w:t>
      </w:r>
    </w:p>
    <w:p>
      <w:pPr>
        <w:pStyle w:val="ListParagraph"/>
        <w:numPr>
          <w:ilvl w:val="0"/>
          <w:numId w:val="2"/>
        </w:numPr>
        <w:spacing w:after="80"/>
      </w:pPr>
      <w:r>
        <w:t xml:space="preserve">“Identity verification” as a listed feature on the Editorial Services &amp; Pricing page's package feature grid — removed (the adjacent “Editorial review by IconsHerald” item already states what genuinely happens).</w:t>
      </w:r>
    </w:p>
    <w:p>
      <w:pPr>
        <w:pStyle w:val="ListParagraph"/>
        <w:numPr>
          <w:ilvl w:val="0"/>
          <w:numId w:val="2"/>
        </w:numPr>
        <w:spacing w:after="80"/>
      </w:pPr>
      <w:r>
        <w:t xml:space="preserve">“Identity verification status” as a listed inclusion under Annual Profile Maintenance &amp; Verification, on the homepage, the Pricing page, and in the FAQ — removed from all three.</w:t>
      </w:r>
    </w:p>
    <w:p>
      <w:pPr>
        <w:pStyle w:val="ListParagraph"/>
        <w:numPr>
          <w:ilvl w:val="0"/>
          <w:numId w:val="2"/>
        </w:numPr>
        <w:spacing w:after="80"/>
      </w:pPr>
      <w:r>
        <w:t xml:space="preserve">“Identity verification” as a listed inclusion in the In Memoriam pricing card — removed.</w:t>
      </w:r>
    </w:p>
    <w:p>
      <w:pPr>
        <w:pStyle w:val="ListParagraph"/>
        <w:numPr>
          <w:ilvl w:val="0"/>
          <w:numId w:val="2"/>
        </w:numPr>
        <w:spacing w:after="80"/>
      </w:pPr>
      <w:r>
        <w:t xml:space="preserve">“Identity verified” from the site's meta description and Open Graph/social-share description tags.</w:t>
      </w:r>
    </w:p>
    <w:p>
      <w:pPr>
        <w:pBdr>
          <w:left w:val="single" w:color="8A2E24" w:sz="12" w:space="8"/>
        </w:pBdr>
        <w:spacing w:after="200" w:before="80"/>
        <w:ind w:left="360"/>
      </w:pPr>
      <w:r>
        <w:rPr>
          <w:i/>
          <w:iCs/>
          <w:color w:val="8A2E24"/>
          <w:sz w:val="21"/>
          <w:szCs w:val="21"/>
        </w:rPr>
        <w:t xml:space="preserve">The product name “Annual Profile Maintenance &amp; Verification” itself was deliberately left unchanged — it appears 16 times across pricing, FAQ, and legal text as a defined term, and renaming it was judged a larger decision than this round of corrections, separate from removing the specific overclaim of identity verification within its description. “Verification” in that product name should be understood, for now, as referring to the editorial review and member-approval process, not identity verification.</w:t>
      </w:r>
    </w:p>
    <w:p>
      <w:pPr>
        <w:pStyle w:val="Heading2"/>
      </w:pPr>
      <w:r>
        <w:t xml:space="preserve">11.3 The Path Back to Using This Word</w:t>
      </w:r>
    </w:p>
    <w:p>
      <w:pPr>
        <w:spacing w:after="160"/>
      </w:pPr>
      <w:r>
        <w:t xml:space="preserve">“Identity Verified” is not abandoned as a concept — it is reserved. If and when a real identity check is added (most likely a DigiLocker-based document pull or an Aadhaar verification via a licensed KYC provider, both discussed as realistic, bounded-cost options at this platform's scale), the badge should be reintroduced at that point, and only at that point, meaning something true for the first time.</w:t>
      </w:r>
    </w:p>
    <w:p>
      <w:pPr>
        <w:shd w:fill="1A1A1A" w:val="clear"/>
        <w:spacing w:after="240" w:before="120"/>
        <w:ind w:left="200" w:right="200"/>
      </w:pPr>
      <w:r>
        <w:rPr>
          <w:rFonts w:ascii="Consolas" w:cs="Consolas" w:eastAsia="Consolas" w:hAnsi="Consolas"/>
          <w:color w:val="F2E9D0"/>
          <w:sz w:val="20"/>
          <w:szCs w:val="20"/>
        </w:rPr>
        <w:t xml:space="preserve">Do not render any identity-related trust badge on a profile page. No replacement badge, placeholder, or alternative wording is required — the space is intentionally empty. If a future task introduces real identity verification (DigiLocker or Aadhaar-based), that is the point at which an 'Identity Verified' badge should be built, not before.</w:t>
      </w:r>
    </w:p>
    <w:p>
      <w:pPr>
        <w:pStyle w:val="Heading1"/>
      </w:pPr>
      <w:r>
        <w:t xml:space="preserve">12. In Memoriam: Mandatory Verification Before Any Commission Begins</w:t>
      </w:r>
    </w:p>
    <w:p>
      <w:pPr>
        <w:pBdr>
          <w:left w:val="single" w:color="8A2E24" w:sz="12" w:space="8"/>
        </w:pBdr>
        <w:spacing w:after="200" w:before="80"/>
        <w:ind w:left="360"/>
      </w:pPr>
      <w:r>
        <w:rPr>
          <w:i/>
          <w:iCs/>
          <w:color w:val="8A2E24"/>
          <w:sz w:val="21"/>
          <w:szCs w:val="21"/>
        </w:rPr>
        <w:t xml:space="preserve">This section describes a genuine safety requirement, not a wording correction. Unlike the living Register, an In Memoriam archive is explicitly sealed and permanent once published — there is no later correction mechanism. The founder identified a real risk: without a concrete evidentiary check, nothing in the previously documented process would prevent a living person from being commissioned and published as deceased, with serious consequences for that person and for the platform.</w:t>
      </w:r>
    </w:p>
    <w:p>
      <w:pPr>
        <w:pStyle w:val="Heading2"/>
      </w:pPr>
      <w:r>
        <w:t xml:space="preserve">12.1 What Is Required,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Required Item</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It Establishes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Death certificate of the individual being commemorated</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That the subject of the archive has, in fact, died — the single fact the entire division depends on being true.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Government-issued photo identity document of the commissioning party</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That the person initiating the commission is a real, identifiable individual who can be held accountable if the commission is later contested or found illegitimate.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Written statement of relationship or standing</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That the commissioning party has a legitimate basis to commission this archive — family member, executor, or authorised foundation representative — not an unrelated third party.</w:t>
            </w:r>
          </w:p>
        </w:tc>
      </w:tr>
    </w:tbl>
    <w:p>
      <w:pPr>
        <w:spacing w:after="160"/>
      </w:pPr>
      <w:r>
        <w:t xml:space="preserve">A death certificate frequently names next of kin directly, which in practice helps establish both the death and a credible relationship at once — but the three requirements above are tracked as distinct items, since an executor or institutional commissioner will not appear on the certificate itself.</w:t>
      </w:r>
    </w:p>
    <w:p>
      <w:pPr>
        <w:pStyle w:val="Heading2"/>
      </w:pPr>
      <w:r>
        <w:t xml:space="preserve">12.2 Scope: Document Collection, Not API-Based Verification</w:t>
      </w:r>
    </w:p>
    <w:p>
      <w:pPr>
        <w:spacing w:after="160"/>
      </w:pPr>
      <w:r>
        <w:t xml:space="preserve">This requirement is to collect and retain copies of these documents for the founder's own review and records — it is not a request to integrate a government verification API (the same Aadhaar/DigiLocker API distinction, and the same licensing/compliance overhead, discussed in Section 11 for the living Register applies here). A secure document upload, reviewed manually by the founder before any editorial work begins or payment is requested, is the correct scope for this stage.</w:t>
      </w:r>
    </w:p>
    <w:p>
      <w:pPr>
        <w:shd w:fill="1A1A1A" w:val="clear"/>
        <w:spacing w:after="240" w:before="120"/>
        <w:ind w:left="200" w:right="200"/>
      </w:pPr>
      <w:r>
        <w:rPr>
          <w:rFonts w:ascii="Consolas" w:cs="Consolas" w:eastAsia="Consolas" w:hAnsi="Consolas"/>
          <w:color w:val="F2E9D0"/>
          <w:sz w:val="20"/>
          <w:szCs w:val="20"/>
        </w:rPr>
        <w:t xml:space="preserve">Add three mandatory document/text fields to the In Memoriam commissioning flow, collected before the questionnaire or any payment request: (1) death certificate upload, (2) government-issued photo ID upload of the commissioning party, (3) a short text field for their stated relationship or standing. None of these are displayed publicly. All three must be present and reviewed by the founder before the commission proceeds to the questionnaire stage.</w:t>
      </w:r>
    </w:p>
    <w:p>
      <w:pPr>
        <w:pStyle w:val="Heading2"/>
      </w:pPr>
      <w:r>
        <w:t xml:space="preserve">12.3 Public Disclosure on the Published Profile</w:t>
      </w:r>
    </w:p>
    <w:p>
      <w:pPr>
        <w:spacing w:after="160"/>
      </w:pPr>
      <w:r>
        <w:t xml:space="preserve">Every published In Memoriam profile now states, in the masthead, immediately below the commissioning credit: “…and verified against the death certificate provided.” This is a structural addition to the profile template itself — it is generated automatically for every memorial profile and does not need to be written per profile.</w:t>
      </w:r>
    </w:p>
    <w:p>
      <w:pPr>
        <w:spacing w:after="160"/>
      </w:pPr>
      <w:r>
        <w:rPr>
          <w:b/>
          <w:bCs/>
        </w:rPr>
        <w:t xml:space="preserve">Example, as it now appears: </w:t>
      </w:r>
      <w:r>
        <w:rPr>
          <w:i/>
          <w:iCs/>
        </w:rPr>
        <w:t xml:space="preserve">“Commissioned by the Ahmad family and the Malabar Cancer Centre, Kozhikode, and verified against the death certificate provided.”</w:t>
      </w:r>
    </w:p>
    <w:p>
      <w:pPr>
        <w:pStyle w:val="Heading2"/>
      </w:pPr>
      <w:r>
        <w:t xml:space="preserve">12.4 Naming on the Public Profile Is the Commissioning Party's Choice</w:t>
      </w:r>
    </w:p>
    <w:p>
      <w:pPr>
        <w:spacing w:after="160"/>
      </w:pPr>
      <w:r>
        <w:t xml:space="preserve">The commissioning party may choose to be credited by their full personal name, or by their family or institution's name — both are acceptable, and the choice is theirs, collected as part of the commissioning flow (see Section 12.2's third field, extended to also capture this preference). Regardless of which is shown publicly, the founder retains a complete internal record of the actual identified individual who commissioned the archive, their submitted identity document, and the death certificate, on file at all times. Public display preference and internal recordkeeping are independent of one another — the second never depends on the first.</w:t>
      </w:r>
    </w:p>
    <w:p>
      <w:pPr>
        <w:pBdr>
          <w:left w:val="single" w:color="8A2E24" w:sz="12" w:space="8"/>
        </w:pBdr>
        <w:spacing w:after="200" w:before="80"/>
        <w:ind w:left="360"/>
      </w:pPr>
      <w:r>
        <w:rPr>
          <w:i/>
          <w:iCs/>
          <w:color w:val="8A2E24"/>
          <w:sz w:val="21"/>
          <w:szCs w:val="21"/>
        </w:rPr>
        <w:t xml:space="preserve">This is now a required step in the In Memoriam process documented in the Master Build Reference's application flow (Section 3.1) for the living Register — the equivalent step for In Memoriam should be built with equal rigor, since the consequence of skipping it here is more serious, not less.</w:t>
      </w:r>
    </w:p>
    <w:p>
      <w:r>
        <w:br w:type="page"/>
      </w:r>
    </w:p>
    <w:p>
      <w:pPr>
        <w:pStyle w:val="Heading1"/>
      </w:pPr>
      <w:r>
        <w:t xml:space="preserve">13. Wording and Tone Corrections</w:t>
      </w:r>
    </w:p>
    <w:p>
      <w:pPr>
        <w:spacing w:after="160"/>
      </w:pPr>
      <w:r>
        <w:t xml:space="preserve">An independent review of the live V8 site (then checked against the actual current V9 file rather than accepted on trust) found genuine, repeated instances of legalistic phrasing, and one placement issue with the AI-disclosure language. Both are corrected. Two further recommendations from the same review — adding real testimonials, and resolving the India-only-pricing-versus-international-availability contradiction — were reviewed and intentionally not acted on; see Section 13.3.</w:t>
      </w:r>
    </w:p>
    <w:p>
      <w:pPr>
        <w:pStyle w:val="Heading2"/>
      </w:pPr>
      <w:r>
        <w:t xml:space="preserve">13.1 Repetitive Legalistic Phrasing</w:t>
      </w:r>
    </w:p>
    <w:p>
      <w:pPr>
        <w:spacing w:after="160"/>
      </w:pPr>
      <w:r>
        <w:t xml:space="preserve">The phrase “Acceptance is not automatic” appeared six times across the site — on the homepage, in the four-step process summary (twice), in the application confirmation message, in the FAQ, and in the About page's process description. Repeating the identical blunt sentence this many times reads as anxious rather than confident. Each instance was rewritten in its own context rather than replaced with a single substitute phrase everywhere:</w:t>
      </w:r>
    </w:p>
    <w:p>
      <w:pPr>
        <w:spacing w:after="100"/>
      </w:pPr>
      <w:r>
        <w:rPr>
          <w:b/>
          <w:bCs/>
          <w:color w:val="8A2E24"/>
        </w:rPr>
        <w:t xml:space="preserve">✗  </w:t>
      </w:r>
      <w:r>
        <w:rPr>
          <w:strike/>
          <w:color w:val="8A2E24"/>
        </w:rPr>
        <w:t xml:space="preserve">Every application is reviewed by the IconsHerald editorial team... Acceptance is not automatic.</w:t>
      </w:r>
      <w:r>
        <w:rPr>
          <w:color w:val="595959"/>
        </w:rPr>
        <w:t xml:space="preserve">   →   </w:t>
      </w:r>
      <w:r>
        <w:rPr>
          <w:b/>
          <w:bCs/>
          <w:color w:val="2E5339"/>
        </w:rPr>
        <w:t>✓  Every application is personally reviewed by our editorial team.</w:t>
      </w:r>
    </w:p>
    <w:p>
      <w:pPr>
        <w:spacing w:after="100"/>
      </w:pPr>
      <w:r>
        <w:rPr>
          <w:b/>
          <w:bCs/>
          <w:color w:val="8A2E24"/>
        </w:rPr>
        <w:t xml:space="preserve">✗  </w:t>
      </w:r>
      <w:r>
        <w:rPr>
          <w:strike/>
          <w:color w:val="8A2E24"/>
        </w:rPr>
        <w:t xml:space="preserve">The editorial team reviews every submission; acceptance is not automatic.</w:t>
      </w:r>
      <w:r>
        <w:rPr>
          <w:color w:val="595959"/>
        </w:rPr>
        <w:t xml:space="preserve">   →   </w:t>
      </w:r>
      <w:r>
        <w:rPr>
          <w:b/>
          <w:bCs/>
          <w:color w:val="2E5339"/>
        </w:rPr>
        <w:t>✓  The editorial team personally reviews every submission.</w:t>
      </w:r>
    </w:p>
    <w:p>
      <w:pPr>
        <w:spacing w:after="100"/>
      </w:pPr>
      <w:r>
        <w:rPr>
          <w:b/>
          <w:bCs/>
          <w:color w:val="8A2E24"/>
        </w:rPr>
        <w:t xml:space="preserve">✗  </w:t>
      </w:r>
      <w:r>
        <w:rPr>
          <w:strike/>
          <w:color w:val="8A2E24"/>
        </w:rPr>
        <w:t xml:space="preserve">Acceptance is not automatic, and submitting this form does not guarantee publication.</w:t>
      </w:r>
      <w:r>
        <w:rPr>
          <w:color w:val="595959"/>
        </w:rPr>
        <w:t xml:space="preserve">   →   </w:t>
      </w:r>
      <w:r>
        <w:rPr>
          <w:b/>
          <w:bCs/>
          <w:color w:val="2E5339"/>
        </w:rPr>
        <w:t>✓  Submitting this form does not guarantee publication.</w:t>
      </w:r>
    </w:p>
    <w:p>
      <w:pPr>
        <w:pBdr>
          <w:left w:val="single" w:color="8A6A1F" w:sz="12" w:space="8"/>
        </w:pBdr>
        <w:spacing w:after="200" w:before="80"/>
        <w:ind w:left="360"/>
      </w:pPr>
      <w:r>
        <w:rPr>
          <w:i/>
          <w:iCs/>
          <w:color w:val="595959"/>
          <w:sz w:val="21"/>
          <w:szCs w:val="21"/>
        </w:rPr>
        <w:t xml:space="preserve">The underlying fact — acceptance is genuinely not guaranteed — is preserved everywhere it matters (the FAQ still states clearly that acceptance is not guaranteed; the Terms still state editorial review is at IconsHerald's sole discretion). Only the repeated, identically-worded warning was removed; the substance was not softened.</w:t>
      </w:r>
    </w:p>
    <w:p>
      <w:pPr>
        <w:pStyle w:val="Heading2"/>
      </w:pPr>
      <w:r>
        <w:t xml:space="preserve">13.2 The Terms' Application-Process Clause</w:t>
      </w:r>
    </w:p>
    <w:p>
      <w:pPr>
        <w:spacing w:after="160"/>
      </w:pPr>
      <w:r>
        <w:t xml:space="preserve">The most legally-loaded instance, in the About page's Terms-style “The Application and Editorial Process” clause, combined three issues at once: the repeated “acceptance is not automatic” phrase, the sentence “IconsHerald is not obliged to give reasons for declining an application,” and a blunt refund clause.</w:t>
      </w:r>
    </w:p>
    <w:p>
      <w:pPr>
        <w:spacing w:after="100"/>
      </w:pPr>
      <w:r>
        <w:rPr>
          <w:b/>
          <w:bCs/>
          <w:color w:val="8A2E24"/>
        </w:rPr>
        <w:t xml:space="preserve">✗  </w:t>
      </w:r>
      <w:r>
        <w:rPr>
          <w:strike/>
          <w:color w:val="8A2E24"/>
        </w:rPr>
        <w:t xml:space="preserve">...acceptance is not automatic and is entirely at IconsHerald's discretion, and IconsHerald is not obliged to give reasons for declining an application.</w:t>
      </w:r>
      <w:r>
        <w:rPr>
          <w:color w:val="595959"/>
        </w:rPr>
        <w:t xml:space="preserve">   →   </w:t>
      </w:r>
      <w:r>
        <w:rPr>
          <w:b/>
          <w:bCs/>
          <w:color w:val="2E5339"/>
        </w:rPr>
        <w:t>✓  ...IconsHerald's editorial team personally reviews each application at its sole discretion, looking for a demonstrable record of achievement, contribution, or distinction.</w:t>
      </w:r>
    </w:p>
    <w:p>
      <w:pPr>
        <w:pBdr>
          <w:left w:val="single" w:color="8A6A1F" w:sz="12" w:space="8"/>
        </w:pBdr>
        <w:spacing w:after="200" w:before="80"/>
        <w:ind w:left="360"/>
      </w:pPr>
      <w:r>
        <w:rPr>
          <w:i/>
          <w:iCs/>
          <w:color w:val="595959"/>
          <w:sz w:val="21"/>
          <w:szCs w:val="21"/>
        </w:rPr>
        <w:t xml:space="preserve">“Not obliged to give reasons” was removed entirely, not softened — it is already implied by “at its sole discretion,” and stating it explicitly added nothing but a colder tone.</w:t>
      </w:r>
    </w:p>
    <w:p>
      <w:pPr>
        <w:spacing w:after="100"/>
      </w:pPr>
      <w:r>
        <w:rPr>
          <w:b/>
          <w:bCs/>
          <w:color w:val="8A2E24"/>
        </w:rPr>
        <w:t xml:space="preserve">✗  </w:t>
      </w:r>
      <w:r>
        <w:rPr>
          <w:strike/>
          <w:color w:val="8A2E24"/>
        </w:rPr>
        <w:t xml:space="preserve">The Editorial Profile Creation upfront payment is non-refundable once editorial preparation has commenced, as it compensates for editorial work already performed.</w:t>
      </w:r>
      <w:r>
        <w:rPr>
          <w:color w:val="595959"/>
        </w:rPr>
        <w:t xml:space="preserve">   →   </w:t>
      </w:r>
      <w:r>
        <w:rPr>
          <w:b/>
          <w:bCs/>
          <w:color w:val="2E5339"/>
        </w:rPr>
        <w:t>✓  Once our editorial team begins work on your Profile, the upfront payment is committed to that work and cannot be refunded.</w:t>
      </w:r>
    </w:p>
    <w:p>
      <w:pPr>
        <w:spacing w:after="160"/>
      </w:pPr>
      <w:r>
        <w:t xml:space="preserve">The same rewording was applied to the equivalent clause on the dedicated Refund &amp; Cancellation Policy page, where the identical phrase also appeared.</w:t>
      </w:r>
    </w:p>
    <w:p>
      <w:pPr>
        <w:pStyle w:val="Heading2"/>
      </w:pPr>
      <w:r>
        <w:t xml:space="preserve">13.3 AI Disclosure: Corrected Placement, Not Removal</w:t>
      </w:r>
    </w:p>
    <w:p>
      <w:pPr>
        <w:spacing w:after="160"/>
      </w:pPr>
      <w:r>
        <w:t xml:space="preserve">“...with the assistance of AI-based editorial tools” appeared four times, including directly alongside “acceptance is not automatic” on the homepage — exactly the juxtaposition flagged as a poor fit for a prestige service aimed at senior professionals. The disclosure itself is accurate and was not removed; it was relocated to the one place it belongs.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Location</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Resolution</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Homepage explanatory paragraph</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mention removed. This is the first substantial text a new visitor reads; it should not double as a technical disclosure.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 Services &amp; Pricing page, package feature grid</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AI mention removed, per the reviewed recommendation to address it in a more considered context rather than the main feature list.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About page, “Editorial Philosophy” section</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mention retained, unchanged. This is the one place on the site specifically dedicated to explaining how the editorial process works, for a visitor who has chosen to read further — the correct, transparent place for this disclosure to live.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Terms (“The Application and Editorial Process”)</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AI mention removed — a legal clause describing payment and approval steps does not need to also carry a product-feature disclosure; the About page already covers it.</w:t>
            </w:r>
          </w:p>
        </w:tc>
      </w:tr>
    </w:tbl>
    <w:p>
      <w:pPr>
        <w:shd w:fill="1A1A1A" w:val="clear"/>
        <w:spacing w:after="240" w:before="120"/>
        <w:ind w:left="200" w:right="200"/>
      </w:pPr>
      <w:r>
        <w:rPr>
          <w:rFonts w:ascii="Consolas" w:cs="Consolas" w:eastAsia="Consolas" w:hAnsi="Consolas"/>
          <w:color w:val="F2E9D0"/>
          <w:sz w:val="20"/>
          <w:szCs w:val="20"/>
        </w:rPr>
        <w:t xml:space="preserve">The phrase 'with the assistance of AI-based editorial tools' (or equivalent) should appear in exactly one place: the About page's Editorial Philosophy section. Do not add it to the homepage, the pricing page's feature grid, or any legal/Terms clause. If a future page is added that discusses the editorial process in similar depth, this is the only other reasonable place it could also appear.</w:t>
      </w:r>
    </w:p>
    <w:p>
      <w:pPr>
        <w:pStyle w:val="Heading2"/>
      </w:pPr>
      <w:r>
        <w:t xml:space="preserve">13.4 Recommendations Reviewed and Not Acted On</w:t>
      </w:r>
    </w:p>
    <w:p>
      <w:pPr>
        <w:spacing w:after="160"/>
      </w:pPr>
      <w:r>
        <w:t xml:space="preserve">Two further points from the same review are recorded here so they are not mistaken for oversights:</w:t>
      </w:r>
    </w:p>
    <w:p>
      <w:pPr>
        <w:pStyle w:val="ListParagraph"/>
        <w:numPr>
          <w:ilvl w:val="0"/>
          <w:numId w:val="2"/>
        </w:numPr>
        <w:spacing w:after="80"/>
      </w:pPr>
      <w:r>
        <w:rPr>
          <w:b/>
          <w:bCs/>
        </w:rPr>
        <w:t xml:space="preserve">Real member testimonials, endorsements, or media mentions — </w:t>
      </w:r>
      <w:r>
        <w:t xml:space="preserve">correctly identified as the platform's biggest current conversion gap. Not actioned, because it cannot be: there are no real published members yet to draw a testimonial from, and inventing one would violate the same standard of honesty already applied throughout this project (see Section 11's removal of unsupported claims). This gap closes naturally, and only, once real members exist.</w:t>
      </w:r>
    </w:p>
    <w:p>
      <w:pPr>
        <w:pStyle w:val="ListParagraph"/>
        <w:numPr>
          <w:ilvl w:val="0"/>
          <w:numId w:val="2"/>
        </w:numPr>
        <w:spacing w:after="80"/>
      </w:pPr>
      <w:r>
        <w:rPr>
          <w:b/>
          <w:bCs/>
        </w:rPr>
        <w:t xml:space="preserve">India-only pricing displayed alongside a FAQ claim that IconsHerald is open internationally — </w:t>
      </w:r>
      <w:r>
        <w:t xml:space="preserve">the contradiction was correctly identified, but resolving it (adding USD/GBP equivalents, or clarifying international payment and tax handling) is a pricing and compliance decision, not a wording fix, and was set aside for a future, deliberate round rather than addressed as part of a tone-correction pass.</w:t>
      </w:r>
    </w:p>
    <w:p>
      <w:r>
        <w:br w:type="page"/>
      </w:r>
    </w:p>
    <w:p>
      <w:pPr>
        <w:pStyle w:val="Heading1"/>
      </w:pPr>
      <w:r>
        <w:t xml:space="preserve">14. Emoji Removed From the Underlying Data Model</w:t>
      </w:r>
    </w:p>
    <w:p>
      <w:pPr>
        <w:spacing w:after="160"/>
      </w:pPr>
      <w:r>
        <w:t xml:space="preserve">The V9 Revision Brief's icon rule (no emoji or default icon-font glyphs anywhere on the site) had already been applied to every visible location — the homepage category cards, the Register's profession filter strip, the individual profile page's category badge, and the search results cards. A site review nonetheless found eight emoji characters still present in the underlying PROFS data structure's icon field, for each of the eight profession categories.</w:t>
      </w:r>
    </w:p>
    <w:p>
      <w:pPr>
        <w:spacing w:after="160"/>
      </w:pPr>
      <w:r>
        <w:t xml:space="preserve">These were confirmed, before removal, to be dead data — not rendered by any current UI element. Removing them required no layout or rendering changes; the field was simply deleted from each profession's data entry.</w:t>
      </w:r>
    </w:p>
    <w:p>
      <w:pPr>
        <w:shd w:fill="1A1A1A" w:val="clear"/>
        <w:spacing w:after="240" w:before="120"/>
        <w:ind w:left="200" w:right="200"/>
      </w:pPr>
      <w:r>
        <w:rPr>
          <w:rFonts w:ascii="Consolas" w:cs="Consolas" w:eastAsia="Consolas" w:hAnsi="Consolas"/>
          <w:color w:val="F2E9D0"/>
          <w:sz w:val="20"/>
          <w:szCs w:val="20"/>
        </w:rPr>
        <w:t xml:space="preserve">The icon field on each profession entry in the PROFS data structure has been removed. Do not reintroduce emoji values for this or any equivalent field. If a future task wants a visual icon per profession, build a custom linear icon set per the V9 Revision Brief's existing instruction — do not default to emoji or icon-font glyphs.</w:t>
      </w:r>
    </w:p>
    <w:p>
      <w:r>
        <w:br w:type="page"/>
      </w:r>
    </w:p>
    <w:p>
      <w:pPr>
        <w:pStyle w:val="Heading1"/>
      </w:pPr>
      <w:r>
        <w:t xml:space="preserve">15. New Terms Clause: Right to Request Identity or Substantiating Documents</w:t>
      </w:r>
    </w:p>
    <w:p>
      <w:pPr>
        <w:spacing w:after="160"/>
      </w:pPr>
      <w:r>
        <w:t xml:space="preserve">A standing right, separate from the mandatory In Memoriam verification requirement in Section 12, has been added to the Terms for the living Register. Where Section 12's requirement is mandatory and applies to every In Memoriam commission without exception, this is a discretionary backstop — exercised only if the editorial team has reason to doubt a specific claim in a specific application, not a routine step every applicant should expect.</w:t>
      </w:r>
    </w:p>
    <w:p>
      <w:pPr>
        <w:spacing w:after="160"/>
      </w:pPr>
      <w:r>
        <w:rPr>
          <w:b/>
          <w:bCs/>
        </w:rPr>
        <w:t xml:space="preserve">Clause added (“4. The Application and Editorial Process”, immediately following the existing process description): </w:t>
      </w:r>
    </w:p>
    <w:p>
      <w:pPr>
        <w:spacing w:after="160"/>
      </w:pPr>
      <w:r>
        <w:rPr>
          <w:i/>
          <w:iCs/>
        </w:rPr>
        <w:t xml:space="preserve">“IconsHerald reserves the right to request identity documents or other substantiating material from an applicant at any stage, where the editorial team considers this reasonably necessary to verify a claim made in an application or Profile. An application may be paused or declined if requested material is not provided.”</w:t>
      </w:r>
    </w:p>
    <w:p>
      <w:pPr>
        <w:pStyle w:val="Heading2"/>
      </w:pPr>
      <w:r>
        <w:t xml:space="preserve">15.1 Why This Stays Quiet, Not Visible</w:t>
      </w:r>
    </w:p>
    <w:p>
      <w:pPr>
        <w:spacing w:after="160"/>
      </w:pPr>
      <w:r>
        <w:t xml:space="preserve">This was deliberately built as a Terms-only clause, not a visible part of the application flow. Stating it visibly and upfront (“we may ask you for ID”) would imply it happens routinely, which is not the intent and would add a note of suspicion to an application process that is otherwise warm and straightforward for the overwhelming majority of applicants who will never be asked for anything beyond the standard résumé and questionnaire.</w:t>
      </w:r>
    </w:p>
    <w:p>
      <w:pPr>
        <w:shd w:fill="1A1A1A" w:val="clear"/>
        <w:spacing w:after="240" w:before="120"/>
        <w:ind w:left="200" w:right="200"/>
      </w:pPr>
      <w:r>
        <w:rPr>
          <w:rFonts w:ascii="Consolas" w:cs="Consolas" w:eastAsia="Consolas" w:hAnsi="Consolas"/>
          <w:color w:val="F2E9D0"/>
          <w:sz w:val="20"/>
          <w:szCs w:val="20"/>
        </w:rPr>
        <w:t xml:space="preserve">This right exists in the Terms only. Do not add any visible UI element, form field, or messaging about identity document requests to the standard application flow. If the editorial team needs to exercise this right for a specific applicant, that should happen as a direct, individual communication (email or phone), not a platform feature.</w:t>
      </w:r>
    </w:p>
    <w:p>
      <w:pPr>
        <w:spacing w:before="400"/>
      </w:pPr>
      <w:r>
        <w:t xml:space="preserve"/>
      </w:r>
    </w:p>
    <w:p>
      <w:pPr>
        <w:pBdr>
          <w:bottom w:val="single" w:color="C9A06A" w:sz="6" w:space="1"/>
        </w:pBdr>
        <w:spacing w:after="240" w:before="120"/>
      </w:pPr>
      <w:r>
        <w:t xml:space="preserve"/>
      </w:r>
    </w:p>
    <w:p>
      <w:pPr>
        <w:jc w:val="center"/>
      </w:pPr>
      <w:r>
        <w:rPr>
          <w:i/>
          <w:iCs/>
          <w:color w:val="595959"/>
          <w:sz w:val="20"/>
          <w:szCs w:val="20"/>
        </w:rPr>
        <w:t xml:space="preserve">End of V9 Addendum.</w:t>
      </w:r>
    </w:p>
    <w:p>
      <w:pPr>
        <w:spacing w:before="80"/>
        <w:jc w:val="center"/>
      </w:pPr>
      <w:r>
        <w:rPr>
          <w:b/>
          <w:bCs/>
          <w:i/>
          <w:iCs/>
          <w:color w:val="5C4712"/>
          <w:sz w:val="22"/>
          <w:szCs w:val="22"/>
        </w:rPr>
        <w:t xml:space="preserve">Herald Yourself.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026"/>
      </w:tabs>
    </w:pPr>
    <w:r>
      <w:rPr>
        <w:b/>
        <w:bCs/>
        <w:color w:val="595959"/>
        <w:sz w:val="16"/>
        <w:szCs w:val="16"/>
      </w:rPr>
      <w:t xml:space="preserve">IconsHerald</w:t>
    </w:r>
    <w:r>
      <w:rPr>
        <w:color w:val="595959"/>
        <w:sz w:val="16"/>
        <w:szCs w:val="16"/>
      </w:rPr>
      <w:t xml:space="preserve">	V9 Addendum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06A" w:sz="8" w:space="4"/>
      </w:pBdr>
      <w:spacing w:after="200" w:before="480"/>
      <w:outlineLvl w:val="0"/>
    </w:pPr>
    <w:rPr>
      <w:rFonts w:ascii="Calibri" w:cs="Calibri" w:eastAsia="Calibri" w:hAnsi="Calibri"/>
      <w:b/>
      <w:bCs/>
      <w:color w:val="5C471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2026-06-25T09:31:17.189Z</dcterms:created>
  <dcterms:modified xsi:type="dcterms:W3CDTF">2026-06-25T09:31:17.206Z</dcterms:modified>
</cp:coreProperties>
</file>

<file path=docProps/custom.xml><?xml version="1.0" encoding="utf-8"?>
<Properties xmlns="http://schemas.openxmlformats.org/officeDocument/2006/custom-properties" xmlns:vt="http://schemas.openxmlformats.org/officeDocument/2006/docPropsVTypes"/>
</file>