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t xml:space="preserve"/>
      </w:r>
    </w:p>
    <w:p>
      <w:pPr>
        <w:jc w:val="center"/>
      </w:pPr>
      <w:r>
        <w:rPr>
          <w:b/>
          <w:bCs/>
          <w:color w:val="5C4712"/>
          <w:sz w:val="60"/>
          <w:szCs w:val="60"/>
        </w:rPr>
        <w:t xml:space="preserve">ICONSHERALD</w:t>
      </w:r>
    </w:p>
    <w:p>
      <w:pPr>
        <w:spacing w:after="40" w:before="100"/>
        <w:jc w:val="center"/>
      </w:pPr>
      <w:r>
        <w:rPr>
          <w:i/>
          <w:iCs/>
          <w:color w:val="1A1A1A"/>
          <w:sz w:val="30"/>
          <w:szCs w:val="30"/>
        </w:rPr>
        <w:t xml:space="preserve">Herald Yourself.</w:t>
      </w:r>
    </w:p>
    <w:p>
      <w:pPr>
        <w:spacing w:after="40"/>
        <w:jc w:val="center"/>
      </w:pPr>
      <w:r>
        <w:rPr>
          <w:color w:val="595959"/>
          <w:sz w:val="20"/>
          <w:szCs w:val="20"/>
        </w:rPr>
        <w:t xml:space="preserve">IconsHerald.com  ·  hello@iconsherald.com</w:t>
      </w:r>
    </w:p>
    <w:p>
      <w:pPr>
        <w:spacing w:after="60" w:before="360"/>
        <w:jc w:val="center"/>
      </w:pPr>
      <w:r>
        <w:rPr>
          <w:color w:val="1A1A1A"/>
          <w:sz w:val="26"/>
          <w:szCs w:val="26"/>
        </w:rPr>
        <w:t xml:space="preserve">V9 Revision Brief</w:t>
      </w:r>
    </w:p>
    <w:p>
      <w:pPr>
        <w:spacing w:after="500"/>
        <w:jc w:val="center"/>
      </w:pPr>
      <w:r>
        <w:rPr>
          <w:i/>
          <w:iCs/>
          <w:color w:val="595959"/>
          <w:sz w:val="18"/>
          <w:szCs w:val="18"/>
        </w:rPr>
        <w:t xml:space="preserve">What changes from V8, why, and exactly how — for the founder to read before Cursor builds it</w:t>
      </w:r>
    </w:p>
    <w:p>
      <w:pPr>
        <w:pBdr>
          <w:top w:val="single" w:color="C9A06A" w:sz="6" w:space="10"/>
          <w:bottom w:val="single" w:color="C9A06A" w:sz="6" w:space="10"/>
        </w:pBdr>
        <w:spacing w:after="200" w:before="200"/>
        <w:jc w:val="center"/>
      </w:pPr>
      <w:r>
        <w:rPr>
          <w:color w:val="595959"/>
          <w:sz w:val="20"/>
          <w:szCs w:val="20"/>
        </w:rPr>
        <w:t xml:space="preserve">Prepared for Mathew Varghese Perangatt  ·  Oreon Dynamics Pvt Ltd (proposed)</w:t>
      </w:r>
    </w:p>
    <w:p>
      <w:pPr>
        <w:spacing w:before="700"/>
        <w:jc w:val="center"/>
      </w:pPr>
      <w:r>
        <w:rPr>
          <w:color w:val="595959"/>
          <w:sz w:val="18"/>
          <w:szCs w:val="18"/>
        </w:rPr>
        <w:t xml:space="preserve">Document version 3.0 (V9 Revision Brief)  ·  June 2026</w:t>
      </w:r>
    </w:p>
    <w:p>
      <w:pPr>
        <w:spacing w:before="60"/>
        <w:jc w:val="center"/>
      </w:pPr>
      <w:r>
        <w:rPr>
          <w:i/>
          <w:iCs/>
          <w:color w:val="595959"/>
          <w:sz w:val="16"/>
          <w:szCs w:val="16"/>
        </w:rPr>
        <w:t xml:space="preserve">Reads alongside: Master Build Reference v2.0, IconsHerald Demo V8</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How to Read and Use This Document</w:t>
      </w:r>
    </w:p>
    <w:p>
      <w:pPr>
        <w:spacing w:after="160"/>
      </w:pPr>
      <w:r>
        <w:t xml:space="preserve">This is not a new platform plan. It is a revision brief — a complete, precise record of every change agreed since the Master Build Reference (v2.0) and IconsHerald Demo V8, reached through direct testing, real conversations with professionals, and a careful review of an alternative design produced by another tool. Nothing in this document overrides the Constitution, the technology stack, or the build-phase plan in the Master Build Reference. It only updates the homepage, navigation, copy, pricing presentation, and a handful of page structures.</w:t>
      </w:r>
    </w:p>
    <w:p>
      <w:pPr>
        <w:spacing w:after="160"/>
      </w:pPr>
      <w:r>
        <w:t xml:space="preserve">Read this document fully yourself first. Once you are satisfied it correctly reflects what you intend, you will generate the V9 demo HTML file (the visual reference, following the same single-file pattern as V8) and hand both this document and the V9 file to Cursor together.</w:t>
      </w:r>
    </w:p>
    <w:p>
      <w:pPr>
        <w:pStyle w:val="Heading2"/>
      </w:pPr>
      <w:r>
        <w:t xml:space="preserve">Why a Revision Was Needed</w:t>
      </w:r>
    </w:p>
    <w:p>
      <w:pPr>
        <w:spacing w:after="160"/>
      </w:pPr>
      <w:r>
        <w:t xml:space="preserve">Two real conversations with professionals in your own network — conducted plainly, without notes or scripts — produced a flat, uninterested reaction even after the offer was explained directly. That result was taken seriously rather than argued away. It led to a wider re-examination: of the homepage's ability to hold a stranger's attention, of navigation complexity, of icon and language choices, of the Founding Member program's fit for a smaller, founder-run venture, and of the In Memoriam division's role and pricing. A separately produced alternative design was also reviewed in full and mined for genuinely useful structural and copy ideas, while its colour palette, fabricated statistics, and pricing inconsistencies were explicitly rejected. What follows is the result: the same platform, considerably clearer.</w:t>
      </w:r>
    </w:p>
    <w:p>
      <w:pPr>
        <w:pStyle w:val="Heading2"/>
      </w:pPr>
      <w:r>
        <w:t xml:space="preserve">What This Document Contains</w:t>
      </w:r>
    </w:p>
    <w:p>
      <w:pPr>
        <w:pStyle w:val="ListParagraph"/>
        <w:numPr>
          <w:ilvl w:val="0"/>
          <w:numId w:val="2"/>
        </w:numPr>
        <w:spacing w:after="80"/>
      </w:pPr>
      <w:r>
        <w:t xml:space="preserve">Part One — this introduction, and a plain summary of what is changing and why</w:t>
      </w:r>
    </w:p>
    <w:p>
      <w:pPr>
        <w:pStyle w:val="ListParagraph"/>
        <w:numPr>
          <w:ilvl w:val="0"/>
          <w:numId w:val="2"/>
        </w:numPr>
        <w:spacing w:after="80"/>
      </w:pPr>
      <w:r>
        <w:t xml:space="preserve">Part Two — the homepage and navigation rebuild, in full, with before/after wording</w:t>
      </w:r>
    </w:p>
    <w:p>
      <w:pPr>
        <w:pStyle w:val="ListParagraph"/>
        <w:numPr>
          <w:ilvl w:val="0"/>
          <w:numId w:val="2"/>
        </w:numPr>
        <w:spacing w:after="80"/>
      </w:pPr>
      <w:r>
        <w:t xml:space="preserve">Part Three — the Register (living professionals): card and profile page restructuring</w:t>
      </w:r>
    </w:p>
    <w:p>
      <w:pPr>
        <w:pStyle w:val="ListParagraph"/>
        <w:numPr>
          <w:ilvl w:val="0"/>
          <w:numId w:val="2"/>
        </w:numPr>
        <w:spacing w:after="80"/>
      </w:pPr>
      <w:r>
        <w:t xml:space="preserve">Part Four — In Memoriam: renaming, tone, pricing, and page structure</w:t>
      </w:r>
    </w:p>
    <w:p>
      <w:pPr>
        <w:pStyle w:val="ListParagraph"/>
        <w:numPr>
          <w:ilvl w:val="0"/>
          <w:numId w:val="2"/>
        </w:numPr>
        <w:spacing w:after="80"/>
      </w:pPr>
      <w:r>
        <w:t xml:space="preserve">Part Five — the application form and questionnaire revisions</w:t>
      </w:r>
    </w:p>
    <w:p>
      <w:pPr>
        <w:pStyle w:val="ListParagraph"/>
        <w:numPr>
          <w:ilvl w:val="0"/>
          <w:numId w:val="2"/>
        </w:numPr>
        <w:spacing w:after="80"/>
      </w:pPr>
      <w:r>
        <w:t xml:space="preserve">Part Six — the Founding Member program's new, quieter form</w:t>
      </w:r>
    </w:p>
    <w:p>
      <w:pPr>
        <w:pStyle w:val="ListParagraph"/>
        <w:numPr>
          <w:ilvl w:val="0"/>
          <w:numId w:val="2"/>
        </w:numPr>
        <w:spacing w:after="80"/>
      </w:pPr>
      <w:r>
        <w:t xml:space="preserve">Part Seven — sitewide language, icon, and spacing corrections</w:t>
      </w:r>
    </w:p>
    <w:p>
      <w:pPr>
        <w:pStyle w:val="ListParagraph"/>
        <w:numPr>
          <w:ilvl w:val="0"/>
          <w:numId w:val="2"/>
        </w:numPr>
        <w:spacing w:after="80"/>
      </w:pPr>
      <w:r>
        <w:t xml:space="preserve">Part Eight — a complete instruction set formatted for Cursor</w:t>
      </w:r>
    </w:p>
    <w:p>
      <w:r>
        <w:br w:type="page"/>
      </w:r>
    </w:p>
    <w:p>
      <w:pPr>
        <w:spacing w:after="100" w:before="200"/>
        <w:jc w:val="center"/>
      </w:pPr>
      <w:r>
        <w:rPr>
          <w:b/>
          <w:bCs/>
          <w:color w:val="595959"/>
          <w:sz w:val="20"/>
          <w:szCs w:val="20"/>
        </w:rPr>
        <w:t xml:space="preserve">PART ONE</w:t>
      </w:r>
    </w:p>
    <w:p>
      <w:pPr>
        <w:spacing w:after="600"/>
        <w:jc w:val="center"/>
      </w:pPr>
      <w:r>
        <w:rPr>
          <w:b/>
          <w:bCs/>
          <w:color w:val="5C4712"/>
          <w:sz w:val="40"/>
          <w:szCs w:val="40"/>
        </w:rPr>
        <w:t xml:space="preserve">What Is Changing, and Why</w:t>
      </w:r>
    </w:p>
    <w:p>
      <w:pPr>
        <w:pStyle w:val="Heading1"/>
      </w:pPr>
      <w:r>
        <w:t xml:space="preserve">1. The Honest Starting Point</w:t>
      </w:r>
    </w:p>
    <w:p>
      <w:pPr>
        <w:spacing w:after="160"/>
      </w:pPr>
      <w:r>
        <w:t xml:space="preserve">The visual identity, the legal pages, the technology stack, the pricing philosophy of one-time creation plus separate ongoing maintenance, and the separation between living professionals and the memorial archive — none of this is being redesigned. Those decisions were made carefully, over months, and they hold up. What needed fixing was narrower and more specific: the homepage did not hold a stranger's attention long enough to make them want to look further, the navigation had grown cluttered, several phrases read as if pulled from a thesaurus rather than spoken by a person, and a few pieces of content (the Founding Member program, the profession icon set) no longer fit the smaller, founder-run shape this venture has settled into.</w:t>
      </w:r>
    </w:p>
    <w:p>
      <w:pPr>
        <w:pStyle w:val="Heading1"/>
      </w:pPr>
      <w:r>
        <w:t xml:space="preserve">2. What Prompted Each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Change</w:t>
            </w:r>
          </w:p>
        </w:tc>
        <w:tc>
          <w:tcPr>
            <w:tcW w:type="dxa" w:w="6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What Prompted It</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Simpler, plainer language throughout</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Two real conversations with professionals required active explanation before the offer was even understood, and still did not land. A page that needs less explaining is more likely to land on its own.</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Homepage restructured to lead with proof, not philosophy</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Direct critique identified that abstract value statements ("permanence," "legacy") preceded any concrete evidence of what the platform actually produces.</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Navigation simplified</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Founder's own review of the live site (screenshot-based) found the menu cluttered and the primary call to action easy to miss.</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Profession icons replaced</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Founder's review found the existing icon set read as generic emoji, undermining the editorial tone.</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Register cards rewritten with editorial excerpts</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Reviewed in the alternative design; adopted because a fact-only card (degree, institution, years) does not differentiate one professional from another the way a written excerpt does.</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Profile page restructured (biography as hero, credentials to sidebar)</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Same source; the current layout presents credentials before the editorial content that is the actual product.</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Application process shown as four steps, not eight</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Administrative detail was crowding the main pitch; moved to FAQ, where it belongs.</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Questionnaire rewritten as a journalist's interview, with save-and-resume</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Founder's own instruction, restated and now formalised: this is the equivalent of an interview for a business magazine profile, not a form.</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Legacies renamed to In Memoriam everywhere</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More accurate, dignified naming for the memorial division.</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In Memoriam given its own distinct dark visual register (not black-on-black sameness, not a light palette)</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Resolves a genuine open question about tonal separation without discarding the tested dark identity or fragmenting the brand into two unrelated palettes.</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In Memoriam kept visible in its own quiet place, not in the main navigation</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Balances the founder's wish to keep this revenue path open against the need for a short, simple primary navigation.</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In Memoriam pricing confirmed unchanged at ₹25,000 + GST / 3 years</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 higher price (₹50,000) was considered and explicitly rejected — it could not be tested without contacting a recently bereaved person, which was correctly judged inappropriate.</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Founding Member program hidden from public view, retained internally</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Preserves a future option (inviting select people without charge to seed credibility) without committing to it now, and without a public program that no longer matches the venture's present scale.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No fabricated statistics, anywhere</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 reviewed alternative design displayed invented numbers ("142 profiles published") as if real. Rejected outright as inconsistent with an editorially honest platform.</w:t>
            </w:r>
          </w:p>
        </w:tc>
      </w:tr>
    </w:tbl>
    <w:p>
      <w:pPr>
        <w:pStyle w:val="Heading1"/>
      </w:pPr>
      <w:r>
        <w:t xml:space="preserve">3. What Is Explicitly Not Changing</w:t>
      </w:r>
    </w:p>
    <w:p>
      <w:pPr>
        <w:pStyle w:val="ListParagraph"/>
        <w:numPr>
          <w:ilvl w:val="0"/>
          <w:numId w:val="2"/>
        </w:numPr>
        <w:spacing w:after="80"/>
      </w:pPr>
      <w:r>
        <w:t xml:space="preserve">The dark, gold-on-black visual identity for the living Register — unchanged, no rebuild</w:t>
      </w:r>
    </w:p>
    <w:p>
      <w:pPr>
        <w:pStyle w:val="ListParagraph"/>
        <w:numPr>
          <w:ilvl w:val="0"/>
          <w:numId w:val="2"/>
        </w:numPr>
        <w:spacing w:after="80"/>
      </w:pPr>
      <w:r>
        <w:t xml:space="preserve">The technology stack, build phases, and security requirements in the Master Build Reference</w:t>
      </w:r>
    </w:p>
    <w:p>
      <w:pPr>
        <w:pStyle w:val="ListParagraph"/>
        <w:numPr>
          <w:ilvl w:val="0"/>
          <w:numId w:val="2"/>
        </w:numPr>
        <w:spacing w:after="80"/>
      </w:pPr>
      <w:r>
        <w:t xml:space="preserve">The Constitution and its founder operating principles</w:t>
      </w:r>
    </w:p>
    <w:p>
      <w:pPr>
        <w:pStyle w:val="ListParagraph"/>
        <w:numPr>
          <w:ilvl w:val="0"/>
          <w:numId w:val="2"/>
        </w:numPr>
        <w:spacing w:after="80"/>
      </w:pPr>
      <w:r>
        <w:t xml:space="preserve">The one-time creation fee plus separate annual maintenance pricing philosophy</w:t>
      </w:r>
    </w:p>
    <w:p>
      <w:pPr>
        <w:pStyle w:val="ListParagraph"/>
        <w:numPr>
          <w:ilvl w:val="0"/>
          <w:numId w:val="2"/>
        </w:numPr>
        <w:spacing w:after="80"/>
      </w:pPr>
      <w:r>
        <w:t xml:space="preserve">The legal pages (Terms, Privacy, Refund Policy, Grievance, Disclaimer) — content stands; only references to renamed sections (Legacies → In Memoriam) need updating</w:t>
      </w:r>
    </w:p>
    <w:p>
      <w:pPr>
        <w:pStyle w:val="ListParagraph"/>
        <w:numPr>
          <w:ilvl w:val="0"/>
          <w:numId w:val="2"/>
        </w:numPr>
        <w:spacing w:after="80"/>
      </w:pPr>
      <w:r>
        <w:t xml:space="preserve">The core pricing figures for the living Register (₹6,000 / ₹12,000 / ₹18,000 inclusive of GST, ₹3,000 + GST annual maintenance)</w:t>
      </w:r>
    </w:p>
    <w:p>
      <w:r>
        <w:br w:type="page"/>
      </w:r>
    </w:p>
    <w:p>
      <w:pPr>
        <w:spacing w:after="100" w:before="200"/>
        <w:jc w:val="center"/>
      </w:pPr>
      <w:r>
        <w:rPr>
          <w:b/>
          <w:bCs/>
          <w:color w:val="595959"/>
          <w:sz w:val="20"/>
          <w:szCs w:val="20"/>
        </w:rPr>
        <w:t xml:space="preserve">PART TWO</w:t>
      </w:r>
    </w:p>
    <w:p>
      <w:pPr>
        <w:spacing w:after="600"/>
        <w:jc w:val="center"/>
      </w:pPr>
      <w:r>
        <w:rPr>
          <w:b/>
          <w:bCs/>
          <w:color w:val="5C4712"/>
          <w:sz w:val="40"/>
          <w:szCs w:val="40"/>
        </w:rPr>
        <w:t xml:space="preserve">Homepage &amp; Navigation</w:t>
      </w:r>
    </w:p>
    <w:p>
      <w:pPr>
        <w:pStyle w:val="Heading1"/>
      </w:pPr>
      <w:r>
        <w:t xml:space="preserve">4. Navigation — Simplified</w:t>
      </w:r>
    </w:p>
    <w:p>
      <w:pPr>
        <w:spacing w:after="160"/>
      </w:pPr>
      <w:r>
        <w:t xml:space="preserve">The current navigation carries too many items of equal visual weight, and the one button a new visitor most needs — a way to see real examples — is easy to miss. The rebuilt navigation keeps only what a first-time visitor needs in the first five seconds.</w:t>
      </w:r>
    </w:p>
    <w:p>
      <w:pPr>
        <w:pStyle w:val="Heading2"/>
      </w:pPr>
      <w:r>
        <w:t xml:space="preserve">4.1 New Primary Navigation (Desktop)</w:t>
      </w:r>
    </w:p>
    <w:p>
      <w:pPr>
        <w:spacing w:after="100"/>
      </w:pPr>
      <w:r>
        <w:rPr>
          <w:b/>
          <w:bCs/>
          <w:color w:val="8A2E24"/>
        </w:rPr>
        <w:t xml:space="preserve">✗  </w:t>
      </w:r>
      <w:r>
        <w:rPr>
          <w:strike/>
          <w:color w:val="8A2E24"/>
        </w:rPr>
        <w:t xml:space="preserve">Home · About · Register · Editorial Services &amp; Pricing · Legacies · Contact  [+ Apply button]</w:t>
      </w:r>
      <w:r>
        <w:rPr>
          <w:color w:val="595959"/>
        </w:rPr>
        <w:t xml:space="preserve">   →   </w:t>
      </w:r>
      <w:r>
        <w:rPr>
          <w:b/>
          <w:bCs/>
          <w:color w:val="2E5339"/>
        </w:rPr>
        <w:t>✓  Home · About · Pricing · Apply for a Profile →</w:t>
      </w:r>
    </w:p>
    <w:p>
      <w:pPr>
        <w:pBdr>
          <w:left w:val="single" w:color="8A6A1F" w:sz="12" w:space="8"/>
        </w:pBdr>
        <w:spacing w:after="200" w:before="80"/>
        <w:ind w:left="360"/>
      </w:pPr>
      <w:r>
        <w:rPr>
          <w:i/>
          <w:iCs/>
          <w:color w:val="595959"/>
          <w:sz w:val="21"/>
          <w:szCs w:val="21"/>
        </w:rPr>
        <w:t xml:space="preserve">"Apply for a Profile" is styled as the filled, primary button — the single visual anchor of the header, exactly as it is in the current site. The Register is reached from the homepage itself (see Section 5), not from a dedicated nav item, since browsing examples is something a visitor does once they're already curious, not a destination they look for by name on first arrival.</w:t>
      </w:r>
    </w:p>
    <w:p>
      <w:pPr>
        <w:spacing w:after="160"/>
      </w:pPr>
      <w:r>
        <w:t xml:space="preserve">Contact remains reachable from the footer and from the About page, not the primary bar — a visitor who wants to get in touch is rarely looking for it in the first three seconds, and removing it from the top bar buys room for the items that matter more there.</w:t>
      </w:r>
    </w:p>
    <w:p>
      <w:pPr>
        <w:pStyle w:val="Heading2"/>
      </w:pPr>
      <w:r>
        <w:t xml:space="preserve">4.2 Where In Memoriam Goes Instead</w:t>
      </w:r>
    </w:p>
    <w:p>
      <w:pPr>
        <w:spacing w:after="160"/>
      </w:pPr>
      <w:r>
        <w:t xml:space="preserve">In Memoriam should not compete for one of the few primary navigation slots, and should not sit beside "Apply for a Profile" with equal visual weight — the living and the memorial offerings are not the same kind of purchase, and the page should never suggest otherwise even in passing. Per the founder's decision, the program is not removed or hidden away entirely — it remains visible, in its own quiet place:</w:t>
      </w:r>
    </w:p>
    <w:p>
      <w:pPr>
        <w:pStyle w:val="ListParagraph"/>
        <w:numPr>
          <w:ilvl w:val="0"/>
          <w:numId w:val="2"/>
        </w:numPr>
        <w:spacing w:after="80"/>
      </w:pPr>
      <w:r>
        <w:t xml:space="preserve">A short, dignified section on the homepage itself, below the main Register content (see Section 5.6) — discoverable by anyone scrolling, never the first thing a visitor sees.</w:t>
      </w:r>
    </w:p>
    <w:p>
      <w:pPr>
        <w:pStyle w:val="ListParagraph"/>
        <w:numPr>
          <w:ilvl w:val="0"/>
          <w:numId w:val="2"/>
        </w:numPr>
        <w:spacing w:after="80"/>
      </w:pPr>
      <w:r>
        <w:t xml:space="preserve">A labelled line in the footer, distinct from the legal links.</w:t>
      </w:r>
    </w:p>
    <w:p>
      <w:pPr>
        <w:shd w:fill="1A1A1A" w:val="clear"/>
        <w:spacing w:after="240" w:before="120"/>
        <w:ind w:left="200" w:right="200"/>
      </w:pPr>
      <w:r>
        <w:rPr>
          <w:rFonts w:ascii="Consolas" w:cs="Consolas" w:eastAsia="Consolas" w:hAnsi="Consolas"/>
          <w:color w:val="F2E9D0"/>
          <w:sz w:val="20"/>
          <w:szCs w:val="20"/>
        </w:rPr>
        <w:t xml:space="preserve">In Memoriam must never appear in the same visual row, with the same button styling, as any living-Register call to action. Where both are referenced on the same page, give In Memoriam a visually distinct treatment (its own colour register per Section 8) and clear separation, never equal-weight side-by-side placement.</w:t>
      </w:r>
    </w:p>
    <w:p>
      <w:pPr>
        <w:pStyle w:val="Heading2"/>
      </w:pPr>
      <w:r>
        <w:t xml:space="preserve">4.3 Mobile Navigation</w:t>
      </w:r>
    </w:p>
    <w:p>
      <w:pPr>
        <w:spacing w:after="160"/>
      </w:pPr>
      <w:r>
        <w:t xml:space="preserve">Mirrors the simplified desktop set: Home, About, Pricing, Apply. In Memoriam reachable via the homepage section and footer, exactly as on desktop — not added as a sixth mobile menu item.</w:t>
      </w:r>
    </w:p>
    <w:p>
      <w:pPr>
        <w:pStyle w:val="Heading1"/>
      </w:pPr>
      <w:r>
        <w:t xml:space="preserve">5. Homepage — Rebuilt</w:t>
      </w:r>
    </w:p>
    <w:p>
      <w:pPr>
        <w:spacing w:after="160"/>
      </w:pPr>
      <w:r>
        <w:t xml:space="preserve">The single biggest problem identified across every review — the founder's own, the direct critique earlier in this project, and the two real-world conversations — is the same one: the page leads with what IconsHerald believes about itself before it shows a visitor anything concrete. The rebuilt homepage inverts that order wherever possible, and uses plain, ordinary words throughout.</w:t>
      </w:r>
    </w:p>
    <w:p>
      <w:pPr>
        <w:pStyle w:val="Heading2"/>
      </w:pPr>
      <w:r>
        <w:t xml:space="preserve">5.1 Hero Section</w:t>
      </w:r>
    </w:p>
    <w:p>
      <w:pPr>
        <w:spacing w:after="100"/>
      </w:pPr>
      <w:r>
        <w:rPr>
          <w:b/>
          <w:bCs/>
          <w:color w:val="8A2E24"/>
        </w:rPr>
        <w:t xml:space="preserve">✗  </w:t>
      </w:r>
      <w:r>
        <w:rPr>
          <w:strike/>
          <w:color w:val="8A2E24"/>
        </w:rPr>
        <w:t xml:space="preserve">Professional Legacy Archive  (eyebrow)</w:t>
      </w:r>
      <w:r>
        <w:rPr>
          <w:color w:val="595959"/>
        </w:rPr>
        <w:t xml:space="preserve">   →   </w:t>
      </w:r>
      <w:r>
        <w:rPr>
          <w:b/>
          <w:bCs/>
          <w:color w:val="2E5339"/>
        </w:rPr>
        <w:t>✓  remove — see note below</w:t>
      </w:r>
    </w:p>
    <w:p>
      <w:pPr>
        <w:spacing w:after="100"/>
      </w:pPr>
      <w:r>
        <w:rPr>
          <w:b/>
          <w:bCs/>
          <w:color w:val="8A2E24"/>
        </w:rPr>
        <w:t xml:space="preserve">✗  </w:t>
      </w:r>
      <w:r>
        <w:rPr>
          <w:strike/>
          <w:color w:val="8A2E24"/>
        </w:rPr>
        <w:t xml:space="preserve">A meaningful career deserves a permanent record.</w:t>
      </w:r>
      <w:r>
        <w:rPr>
          <w:color w:val="595959"/>
        </w:rPr>
        <w:t xml:space="preserve">   →   </w:t>
      </w:r>
      <w:r>
        <w:rPr>
          <w:b/>
          <w:bCs/>
          <w:color w:val="2E5339"/>
        </w:rPr>
        <w:t>✓  A career that matters deserves a record that lasts.</w:t>
      </w:r>
    </w:p>
    <w:p>
      <w:pPr>
        <w:spacing w:after="100"/>
      </w:pPr>
      <w:r>
        <w:rPr>
          <w:b/>
          <w:bCs/>
          <w:color w:val="8A2E24"/>
        </w:rPr>
        <w:t xml:space="preserve">✗  </w:t>
      </w:r>
      <w:r>
        <w:rPr>
          <w:strike/>
          <w:color w:val="8A2E24"/>
        </w:rPr>
        <w:t xml:space="preserve">Recognition. Legacy. Permanence.</w:t>
      </w:r>
      <w:r>
        <w:rPr>
          <w:color w:val="595959"/>
        </w:rPr>
        <w:t xml:space="preserve">   →   </w:t>
      </w:r>
      <w:r>
        <w:rPr>
          <w:b/>
          <w:bCs/>
          <w:color w:val="2E5339"/>
        </w:rPr>
        <w:t>✓  remove — redundant with headline; delete rather than replace</w:t>
      </w:r>
    </w:p>
    <w:p>
      <w:pPr>
        <w:pBdr>
          <w:left w:val="single" w:color="8A6A1F" w:sz="12" w:space="8"/>
        </w:pBdr>
        <w:spacing w:after="200" w:before="80"/>
        <w:ind w:left="360"/>
      </w:pPr>
      <w:r>
        <w:rPr>
          <w:i/>
          <w:iCs/>
          <w:color w:val="595959"/>
          <w:sz w:val="21"/>
          <w:szCs w:val="21"/>
        </w:rPr>
        <w:t xml:space="preserve">The eyebrow label is removed rather than replaced with a simpler version of the same idea. Testing this homepage against a real visitor matters more than any single word choice — if a simpler eyebrow is wanted later, it should say what the page is ("The IconsHerald Register"), not what it believes about itself ("Legacy Archive").</w:t>
      </w:r>
    </w:p>
    <w:p>
      <w:pPr>
        <w:spacing w:after="160"/>
      </w:pPr>
      <w:r>
        <w:t xml:space="preserve">Supporting line beneath the headline:</w:t>
      </w:r>
    </w:p>
    <w:p>
      <w:pPr>
        <w:spacing w:after="100"/>
      </w:pPr>
      <w:r>
        <w:rPr>
          <w:b/>
          <w:bCs/>
          <w:color w:val="8A2E24"/>
        </w:rPr>
        <w:t xml:space="preserve">✗  </w:t>
      </w:r>
      <w:r>
        <w:rPr>
          <w:strike/>
          <w:color w:val="8A2E24"/>
        </w:rPr>
        <w:t xml:space="preserve">Documenting distinguished careers through editorial biographies, verified achievements, and enduring digital profiles.</w:t>
      </w:r>
      <w:r>
        <w:rPr>
          <w:color w:val="595959"/>
        </w:rPr>
        <w:t xml:space="preserve">   →   </w:t>
      </w:r>
      <w:r>
        <w:rPr>
          <w:b/>
          <w:bCs/>
          <w:color w:val="2E5339"/>
        </w:rPr>
        <w:t>✓  IconsHerald writes and publishes permanent professional profiles — for doctors, lawyers, scientists, architects, and others whose careers deserve a proper record.</w:t>
      </w:r>
    </w:p>
    <w:p>
      <w:pPr>
        <w:pStyle w:val="Heading3"/>
      </w:pPr>
      <w:r>
        <w:t xml:space="preserve">5.2 Hero Image</w:t>
      </w:r>
    </w:p>
    <w:p>
      <w:pPr>
        <w:spacing w:after="160"/>
      </w:pPr>
      <w:r>
        <w:t xml:space="preserve">No photograph in the hero for this revision. Several attempts at a founder photograph (AI-generated placeholder, then AI-modified real photographs) were reviewed and set aside — the placeholder face undermined the platform's own identity-verification promise, and no genuinely warm, naturally smiling photograph was available without further photography. A text-only hero, well set, is a complete and dignified solution on its own; a real, well-lit founder or member photograph can be added in a future revision once one exists.</w:t>
      </w:r>
    </w:p>
    <w:p>
      <w:pPr>
        <w:shd w:fill="1A1A1A" w:val="clear"/>
        <w:spacing w:after="240" w:before="120"/>
        <w:ind w:left="200" w:right="200"/>
      </w:pPr>
      <w:r>
        <w:rPr>
          <w:rFonts w:ascii="Consolas" w:cs="Consolas" w:eastAsia="Consolas" w:hAnsi="Consolas"/>
          <w:color w:val="F2E9D0"/>
          <w:sz w:val="20"/>
          <w:szCs w:val="20"/>
        </w:rPr>
        <w:t xml:space="preserve">Build the hero as text-only: eyebrow removed, headline and supporting line as specified above, two buttons (Apply for a Profile — filled; Browse the Register — text link with arrow). Leave clear, deliberate space in the hero layout where a photograph could later be added on the right-hand side, but do not place any image there now.</w:t>
      </w:r>
    </w:p>
    <w:p>
      <w:pPr>
        <w:pStyle w:val="Heading3"/>
      </w:pPr>
      <w:r>
        <w:t xml:space="preserve">5.3 Hero Buttons</w:t>
      </w:r>
    </w:p>
    <w:p>
      <w:pPr>
        <w:spacing w:after="100"/>
      </w:pPr>
      <w:r>
        <w:rPr>
          <w:b/>
          <w:bCs/>
          <w:color w:val="8A2E24"/>
        </w:rPr>
        <w:t xml:space="preserve">✗  </w:t>
      </w:r>
      <w:r>
        <w:rPr>
          <w:strike/>
          <w:color w:val="8A2E24"/>
        </w:rPr>
        <w:t xml:space="preserve">Apply for Membership →</w:t>
      </w:r>
      <w:r>
        <w:rPr>
          <w:color w:val="595959"/>
        </w:rPr>
        <w:t xml:space="preserve">   →   </w:t>
      </w:r>
      <w:r>
        <w:rPr>
          <w:b/>
          <w:bCs/>
          <w:color w:val="2E5339"/>
        </w:rPr>
        <w:t>✓  Apply for a Profile →</w:t>
      </w:r>
    </w:p>
    <w:p>
      <w:pPr>
        <w:spacing w:after="100"/>
      </w:pPr>
      <w:r>
        <w:rPr>
          <w:b/>
          <w:bCs/>
          <w:color w:val="8A2E24"/>
        </w:rPr>
        <w:t xml:space="preserve">✗  </w:t>
      </w:r>
      <w:r>
        <w:rPr>
          <w:strike/>
          <w:color w:val="8A2E24"/>
        </w:rPr>
        <w:t xml:space="preserve">Explore the Register →</w:t>
      </w:r>
      <w:r>
        <w:rPr>
          <w:color w:val="595959"/>
        </w:rPr>
        <w:t xml:space="preserve">   →   </w:t>
      </w:r>
      <w:r>
        <w:rPr>
          <w:b/>
          <w:bCs/>
          <w:color w:val="2E5339"/>
        </w:rPr>
        <w:t>✓  Browse the Register →</w:t>
      </w:r>
    </w:p>
    <w:p>
      <w:pPr>
        <w:pBdr>
          <w:left w:val="single" w:color="8A6A1F" w:sz="12" w:space="8"/>
        </w:pBdr>
        <w:spacing w:after="200" w:before="80"/>
        <w:ind w:left="360"/>
      </w:pPr>
      <w:r>
        <w:rPr>
          <w:i/>
          <w:iCs/>
          <w:color w:val="595959"/>
          <w:sz w:val="21"/>
          <w:szCs w:val="21"/>
        </w:rPr>
        <w:t xml:space="preserve">"Browse," not "Explore" — a small change, but "explore" implies an open-ended journey through an unknown space, which slightly overstates what a visitor is actually about to do (look at some example profiles). "Browse" is plainer and matches what happens when clicked.</w:t>
      </w:r>
    </w:p>
    <w:p>
      <w:pPr>
        <w:pStyle w:val="Heading2"/>
      </w:pPr>
      <w:r>
        <w:t xml:space="preserve">5.4 Move Proof Above Philosophy</w:t>
      </w:r>
    </w:p>
    <w:p>
      <w:pPr>
        <w:spacing w:after="160"/>
      </w:pPr>
      <w:r>
        <w:t xml:space="preserve">The current homepage order is: hero → pricing preview → "What Is IconsHerald" → profession categories → specimen profiles → CTA. The rebuilt order moves real examples much higher, directly beneath the hero, before any explanation of pricing or philosophy:</w:t>
      </w:r>
    </w:p>
    <w:p>
      <w:pPr>
        <w:pStyle w:val="ListParagraph"/>
        <w:numPr>
          <w:ilvl w:val="0"/>
          <w:numId w:val="3"/>
        </w:numPr>
        <w:spacing w:after="80"/>
      </w:pPr>
      <w:r>
        <w:t xml:space="preserve">Hero (headline, supporting line, two buttons)</w:t>
      </w:r>
    </w:p>
    <w:p>
      <w:pPr>
        <w:pStyle w:val="ListParagraph"/>
        <w:numPr>
          <w:ilvl w:val="0"/>
          <w:numId w:val="3"/>
        </w:numPr>
        <w:spacing w:after="80"/>
      </w:pPr>
      <w:r>
        <w:t xml:space="preserve">Selected profiles from the Register — three to four real or realistic specimen cards, each with a name, role, institution, and a short editorial excerpt (see Section 6.1 for the excerpt format)</w:t>
      </w:r>
    </w:p>
    <w:p>
      <w:pPr>
        <w:pStyle w:val="ListParagraph"/>
        <w:numPr>
          <w:ilvl w:val="0"/>
          <w:numId w:val="3"/>
        </w:numPr>
        <w:spacing w:after="80"/>
      </w:pPr>
      <w:r>
        <w:t xml:space="preserve">What is IconsHerald — the explanatory section, shortened (see 5.5)</w:t>
      </w:r>
    </w:p>
    <w:p>
      <w:pPr>
        <w:pStyle w:val="ListParagraph"/>
        <w:numPr>
          <w:ilvl w:val="0"/>
          <w:numId w:val="3"/>
        </w:numPr>
        <w:spacing w:after="80"/>
      </w:pPr>
      <w:r>
        <w:t xml:space="preserve">In Memoriam — a short, separate, quietly styled section (see 5.6)</w:t>
      </w:r>
    </w:p>
    <w:p>
      <w:pPr>
        <w:pStyle w:val="ListParagraph"/>
        <w:numPr>
          <w:ilvl w:val="0"/>
          <w:numId w:val="3"/>
        </w:numPr>
        <w:spacing w:after="80"/>
      </w:pPr>
      <w:r>
        <w:t xml:space="preserve">Pricing preview — three packages, one-time fee clearly stated, annual maintenance mentioned once, briefly, with a link to the full Pricing page</w:t>
      </w:r>
    </w:p>
    <w:p>
      <w:pPr>
        <w:pStyle w:val="ListParagraph"/>
        <w:numPr>
          <w:ilvl w:val="0"/>
          <w:numId w:val="3"/>
        </w:numPr>
        <w:spacing w:after="80"/>
      </w:pPr>
      <w:r>
        <w:t xml:space="preserve">Closing call to action — "Applications are currently open" band, matching the current site's dark closing section</w:t>
      </w:r>
    </w:p>
    <w:p>
      <w:pPr>
        <w:shd w:fill="1A1A1A" w:val="clear"/>
        <w:spacing w:after="240" w:before="120"/>
        <w:ind w:left="200" w:right="200"/>
      </w:pPr>
      <w:r>
        <w:rPr>
          <w:rFonts w:ascii="Consolas" w:cs="Consolas" w:eastAsia="Consolas" w:hAnsi="Consolas"/>
          <w:color w:val="F2E9D0"/>
          <w:sz w:val="20"/>
          <w:szCs w:val="20"/>
        </w:rPr>
        <w:t xml:space="preserve">Profile cards must appear directly below the hero, before any explanatory or pricing content. This ordering is deliberate and should not be rearranged for visual-balance reasons without first checking with the founder.</w:t>
      </w:r>
    </w:p>
    <w:p>
      <w:pPr>
        <w:pStyle w:val="Heading2"/>
      </w:pPr>
      <w:r>
        <w:t xml:space="preserve">5.5 "What Is IconsHerald" — Shortened and Simplified</w:t>
      </w:r>
    </w:p>
    <w:p>
      <w:pPr>
        <w:spacing w:after="100"/>
      </w:pPr>
      <w:r>
        <w:rPr>
          <w:b/>
          <w:bCs/>
          <w:color w:val="8A2E24"/>
        </w:rPr>
        <w:t xml:space="preserve">✗  </w:t>
      </w:r>
      <w:r>
        <w:rPr>
          <w:strike/>
          <w:color w:val="8A2E24"/>
        </w:rPr>
        <w:t xml:space="preserve">A curated archive of professional achievement.</w:t>
      </w:r>
      <w:r>
        <w:rPr>
          <w:color w:val="595959"/>
        </w:rPr>
        <w:t xml:space="preserve">   →   </w:t>
      </w:r>
      <w:r>
        <w:rPr>
          <w:b/>
          <w:bCs/>
          <w:color w:val="2E5339"/>
        </w:rPr>
        <w:t>✓  Professional Achievement Profiles.</w:t>
      </w:r>
    </w:p>
    <w:p>
      <w:pPr>
        <w:spacing w:after="100"/>
      </w:pPr>
      <w:r>
        <w:rPr>
          <w:b/>
          <w:bCs/>
          <w:color w:val="8A2E24"/>
        </w:rPr>
        <w:t xml:space="preserve">✗  </w:t>
      </w:r>
      <w:r>
        <w:rPr>
          <w:strike/>
          <w:color w:val="8A2E24"/>
        </w:rPr>
        <w:t xml:space="preserve">IconsHerald is a professional legacy archive where accomplished professionals receive a permanent, editorially composed profile documenting their career with the seriousness it deserves.</w:t>
      </w:r>
      <w:r>
        <w:rPr>
          <w:color w:val="595959"/>
        </w:rPr>
        <w:t xml:space="preserve">   →   </w:t>
      </w:r>
      <w:r>
        <w:rPr>
          <w:b/>
          <w:bCs/>
          <w:color w:val="2E5339"/>
        </w:rPr>
        <w:t>✓  IconsHerald writes a short, true account of your career — your achievements, your contributions, the things a résumé can't show. We compose it, you approve it, and it stays online for as long as you want it to.</w:t>
      </w:r>
    </w:p>
    <w:p>
      <w:pPr>
        <w:pBdr>
          <w:left w:val="single" w:color="8A6A1F" w:sz="12" w:space="8"/>
        </w:pBdr>
        <w:spacing w:after="200" w:before="80"/>
        <w:ind w:left="360"/>
      </w:pPr>
      <w:r>
        <w:rPr>
          <w:i/>
          <w:iCs/>
          <w:color w:val="595959"/>
          <w:sz w:val="21"/>
          <w:szCs w:val="21"/>
        </w:rPr>
        <w:t xml:space="preserve">The second sentence ("the things a résumé can't show") deliberately echoes the founder's own stated insight about why someone actually wants this — recognition and achievement that a CV format can't carry — without naming any professional advertising restriction, per the legal guidance already received and confirmed in writing.</w:t>
      </w:r>
    </w:p>
    <w:p>
      <w:pPr>
        <w:spacing w:after="100"/>
      </w:pPr>
      <w:r>
        <w:rPr>
          <w:b/>
          <w:bCs/>
          <w:color w:val="8A2E24"/>
        </w:rPr>
        <w:t xml:space="preserve">✗  </w:t>
      </w:r>
      <w:r>
        <w:rPr>
          <w:strike/>
          <w:color w:val="8A2E24"/>
        </w:rPr>
        <w:t xml:space="preserve">Not a directory. Not a social network.</w:t>
      </w:r>
      <w:r>
        <w:rPr>
          <w:color w:val="595959"/>
        </w:rPr>
        <w:t xml:space="preserve">   →   </w:t>
      </w:r>
      <w:r>
        <w:rPr>
          <w:b/>
          <w:bCs/>
          <w:color w:val="2E5339"/>
        </w:rPr>
        <w:t>✓  keep as-is — already plain and effective</w:t>
      </w:r>
    </w:p>
    <w:p>
      <w:pPr>
        <w:pStyle w:val="Heading2"/>
      </w:pPr>
      <w:r>
        <w:t xml:space="preserve">5.6 In Memoriam Homepage Section</w:t>
      </w:r>
    </w:p>
    <w:p>
      <w:pPr>
        <w:spacing w:after="160"/>
      </w:pPr>
      <w:r>
        <w:t xml:space="preserve">A short, quietly styled block, visually distinct from the surrounding Register content (see Section 8 for the colour treatment), positioned after the specimen profiles and before pricing:</w:t>
      </w:r>
    </w:p>
    <w:p>
      <w:pPr>
        <w:spacing w:after="160"/>
      </w:pPr>
      <w:r>
        <w:rPr>
          <w:b/>
          <w:bCs/>
        </w:rPr>
        <w:t xml:space="preserve">Suggested copy:  </w:t>
      </w:r>
      <w:r>
        <w:rPr>
          <w:i/>
          <w:iCs/>
        </w:rPr>
        <w:t xml:space="preserve">"In Memoriam — Every life leaves something worth recording. IconsHerald also maintains a separate, permanent archive for those who have passed, commissioned by family, trusts, or foundations. Sealed at publication. Visit In Memoriam →"</w:t>
      </w:r>
    </w:p>
    <w:p>
      <w:pPr>
        <w:pBdr>
          <w:left w:val="single" w:color="8A6A1F" w:sz="12" w:space="8"/>
        </w:pBdr>
        <w:spacing w:after="200" w:before="80"/>
        <w:ind w:left="360"/>
      </w:pPr>
      <w:r>
        <w:rPr>
          <w:i/>
          <w:iCs/>
          <w:color w:val="595959"/>
          <w:sz w:val="21"/>
          <w:szCs w:val="21"/>
        </w:rPr>
        <w:t xml:space="preserve">This is the only homepage mention. It should never sit directly beside a living-Register pricing card or CTA in the same row or visual block — see the rule in Section 4.2.</w:t>
      </w:r>
    </w:p>
    <w:p>
      <w:pPr>
        <w:pStyle w:val="Heading2"/>
      </w:pPr>
      <w:r>
        <w:t xml:space="preserve">5.7 Pricing Preview Wording</w:t>
      </w:r>
    </w:p>
    <w:p>
      <w:pPr>
        <w:spacing w:after="100"/>
      </w:pPr>
      <w:r>
        <w:rPr>
          <w:b/>
          <w:bCs/>
          <w:color w:val="8A2E24"/>
        </w:rPr>
        <w:t xml:space="preserve">✗  </w:t>
      </w:r>
      <w:r>
        <w:rPr>
          <w:strike/>
          <w:color w:val="8A2E24"/>
        </w:rPr>
        <w:t xml:space="preserve">A modest annual fee preserves it.</w:t>
      </w:r>
      <w:r>
        <w:rPr>
          <w:color w:val="595959"/>
        </w:rPr>
        <w:t xml:space="preserve">   →   </w:t>
      </w:r>
      <w:r>
        <w:rPr>
          <w:b/>
          <w:bCs/>
          <w:color w:val="2E5339"/>
        </w:rPr>
        <w:t>✓  remove the word "modest" — state the figure plainly: "Annual Profile Maintenance — ₹3,000 + GST per year."</w:t>
      </w:r>
    </w:p>
    <w:p>
      <w:pPr>
        <w:pBdr>
          <w:left w:val="single" w:color="8A6A1F" w:sz="12" w:space="8"/>
        </w:pBdr>
        <w:spacing w:after="200" w:before="80"/>
        <w:ind w:left="360"/>
      </w:pPr>
      <w:r>
        <w:rPr>
          <w:i/>
          <w:iCs/>
          <w:color w:val="595959"/>
          <w:sz w:val="21"/>
          <w:szCs w:val="21"/>
        </w:rPr>
        <w:t xml:space="preserve">"Modest" is the writer pre-emptively defending a price the reader hasn't objected to yet, which reads as slightly anxious rather than confident. Stating the number plainly, without a softening adjective, is the more confident — and more editorial — choice.</w:t>
      </w:r>
    </w:p>
    <w:p>
      <w:r>
        <w:br w:type="page"/>
      </w:r>
    </w:p>
    <w:p>
      <w:pPr>
        <w:spacing w:after="100" w:before="200"/>
        <w:jc w:val="center"/>
      </w:pPr>
      <w:r>
        <w:rPr>
          <w:b/>
          <w:bCs/>
          <w:color w:val="595959"/>
          <w:sz w:val="20"/>
          <w:szCs w:val="20"/>
        </w:rPr>
        <w:t xml:space="preserve">PART THREE</w:t>
      </w:r>
    </w:p>
    <w:p>
      <w:pPr>
        <w:spacing w:after="600"/>
        <w:jc w:val="center"/>
      </w:pPr>
      <w:r>
        <w:rPr>
          <w:b/>
          <w:bCs/>
          <w:color w:val="5C4712"/>
          <w:sz w:val="40"/>
          <w:szCs w:val="40"/>
        </w:rPr>
        <w:t xml:space="preserve">The Register — Cards &amp; Profile Pages</w:t>
      </w:r>
    </w:p>
    <w:p>
      <w:pPr>
        <w:pStyle w:val="Heading1"/>
      </w:pPr>
      <w:r>
        <w:t xml:space="preserve">6. Register Browse Cards — Editorial Excerpts</w:t>
      </w:r>
    </w:p>
    <w:p>
      <w:pPr>
        <w:spacing w:after="160"/>
      </w:pPr>
      <w:r>
        <w:t xml:space="preserve">The current Register card shows only facts in a row — name, qualification, institution, years. Every card looks structurally identical, differing only in the nouns. The fix is not a redesign of the card's layout, but an addition to its content: a short editorial excerpt, written the way a magazine profile would tease its subject, sitting beneath the existing facts line.</w:t>
      </w:r>
    </w:p>
    <w:p>
      <w:pPr>
        <w:pStyle w:val="Heading2"/>
      </w:pPr>
      <w:r>
        <w:t xml:space="preserve">6.1 New Card Structure</w:t>
      </w:r>
    </w:p>
    <w:p>
      <w:pPr>
        <w:pStyle w:val="ListParagraph"/>
        <w:numPr>
          <w:ilvl w:val="0"/>
          <w:numId w:val="4"/>
        </w:numPr>
        <w:spacing w:after="80"/>
      </w:pPr>
      <w:r>
        <w:t xml:space="preserve">Category label (e.g. "Interventional Cardiologist") — unchanged</w:t>
      </w:r>
    </w:p>
    <w:p>
      <w:pPr>
        <w:pStyle w:val="ListParagraph"/>
        <w:numPr>
          <w:ilvl w:val="0"/>
          <w:numId w:val="4"/>
        </w:numPr>
        <w:spacing w:after="80"/>
      </w:pPr>
      <w:r>
        <w:t xml:space="preserve">Name, credentials, institution — unchanged, stays as the factual identifying line</w:t>
      </w:r>
    </w:p>
    <w:p>
      <w:pPr>
        <w:pStyle w:val="ListParagraph"/>
        <w:numPr>
          <w:ilvl w:val="0"/>
          <w:numId w:val="4"/>
        </w:numPr>
        <w:spacing w:after="80"/>
      </w:pPr>
      <w:r>
        <w:t xml:space="preserve">NEW — a 2–3 sentence editorial excerpt, pulled from the published biography, written to convey scale and character rather than simply restating the credentials line</w:t>
      </w:r>
    </w:p>
    <w:p>
      <w:pPr>
        <w:pStyle w:val="ListParagraph"/>
        <w:numPr>
          <w:ilvl w:val="0"/>
          <w:numId w:val="4"/>
        </w:numPr>
        <w:spacing w:after="80"/>
      </w:pPr>
      <w:r>
        <w:t xml:space="preserve">"Read Profile →" — unchanged</w:t>
      </w:r>
    </w:p>
    <w:p>
      <w:pPr>
        <w:pStyle w:val="Heading2"/>
      </w:pPr>
      <w:r>
        <w:t xml:space="preserve">6.2 Before / After Example</w:t>
      </w:r>
    </w:p>
    <w:p>
      <w:pPr>
        <w:spacing w:after="160"/>
      </w:pPr>
      <w:r>
        <w:rPr>
          <w:b/>
          <w:bCs/>
        </w:rPr>
        <w:t xml:space="preserve">Current card content (facts only):</w:t>
      </w:r>
    </w:p>
    <w:p>
      <w:pPr>
        <w:spacing w:after="160"/>
      </w:pPr>
      <w:r>
        <w:rPr>
          <w:i/>
          <w:iCs/>
          <w:color w:val="595959"/>
        </w:rPr>
        <w:t xml:space="preserve">Dr. Preethi Menon, MBBS · Apollo Clinic, Kochi · 5 Years</w:t>
      </w:r>
    </w:p>
    <w:p>
      <w:pPr>
        <w:spacing w:after="160"/>
      </w:pPr>
      <w:r>
        <w:rPr>
          <w:b/>
          <w:bCs/>
        </w:rPr>
        <w:t xml:space="preserve">Revised card content (facts, then excerpt):</w:t>
      </w:r>
    </w:p>
    <w:p>
      <w:pPr>
        <w:spacing w:after="160"/>
      </w:pPr>
      <w:r>
        <w:rPr>
          <w:i/>
          <w:iCs/>
          <w:color w:val="595959"/>
        </w:rPr>
        <w:t xml:space="preserve">Dr. Preethi Menon, MBBS · Apollo Clinic, Kochi · 5 Years</w:t>
      </w:r>
    </w:p>
    <w:p>
      <w:pPr>
        <w:spacing w:after="160"/>
      </w:pPr>
      <w:r>
        <w:t xml:space="preserve">"Built Apollo Kochi's first dedicated paediatric emergency unit from a single consulting room into a twelve-bed ward in under four years. She has trained eighteen junior doctors who now lead emergency units of their own across Kerala."</w:t>
      </w:r>
    </w:p>
    <w:p>
      <w:pPr>
        <w:pBdr>
          <w:left w:val="single" w:color="8A6A1F" w:sz="12" w:space="8"/>
        </w:pBdr>
        <w:spacing w:after="200" w:before="80"/>
        <w:ind w:left="360"/>
      </w:pPr>
      <w:r>
        <w:rPr>
          <w:i/>
          <w:iCs/>
          <w:color w:val="595959"/>
          <w:sz w:val="21"/>
          <w:szCs w:val="21"/>
        </w:rPr>
        <w:t xml:space="preserve">The excerpt is written by the editorial team as part of composing the biography — it is not a separate piece of work. When a profile is drafted (per the Master Build Reference's AI-assisted drafting workflow), the same drafting and editing pass should produce both the full biography and this shorter excerpt for the card.</w:t>
      </w:r>
    </w:p>
    <w:p>
      <w:pPr>
        <w:pStyle w:val="Heading2"/>
      </w:pPr>
      <w:r>
        <w:t xml:space="preserve">6.3 Register Page Filter Bar</w:t>
      </w:r>
    </w:p>
    <w:p>
      <w:pPr>
        <w:spacing w:after="100"/>
      </w:pPr>
      <w:r>
        <w:rPr>
          <w:b/>
          <w:bCs/>
          <w:color w:val="8A2E24"/>
        </w:rPr>
        <w:t xml:space="preserve">✗  </w:t>
      </w:r>
      <w:r>
        <w:rPr>
          <w:strike/>
          <w:color w:val="8A2E24"/>
        </w:rPr>
        <w:t xml:space="preserve">Profession icons styled as emoji-like pictograms (stethoscope, scales, briefcase, etc.)</w:t>
      </w:r>
      <w:r>
        <w:rPr>
          <w:color w:val="595959"/>
        </w:rPr>
        <w:t xml:space="preserve">   →   </w:t>
      </w:r>
      <w:r>
        <w:rPr>
          <w:b/>
          <w:bCs/>
          <w:color w:val="2E5339"/>
        </w:rPr>
        <w:t>✓  Text-only category labels, or a custom-drawn linear icon set matching the gold/serif identity</w:t>
      </w:r>
    </w:p>
    <w:p>
      <w:pPr>
        <w:shd w:fill="1A1A1A" w:val="clear"/>
        <w:spacing w:after="240" w:before="120"/>
        <w:ind w:left="200" w:right="200"/>
      </w:pPr>
      <w:r>
        <w:rPr>
          <w:rFonts w:ascii="Consolas" w:cs="Consolas" w:eastAsia="Consolas" w:hAnsi="Consolas"/>
          <w:color w:val="F2E9D0"/>
          <w:sz w:val="20"/>
          <w:szCs w:val="20"/>
        </w:rPr>
        <w:t xml:space="preserve">Do not use emoji characters or default icon-font glyphs for the profession filter bar. If icons are used at all, they must be a custom, linear, single-weight icon set drawn to match the site's existing gold-line aesthetic — not a generic icon library's default symbols. If no suitable custom set is available, use text-only labels ("Doctor," "Lawyer," "Architect") rather than a mismatched icon.</w:t>
      </w:r>
    </w:p>
    <w:p>
      <w:pPr>
        <w:pStyle w:val="Heading1"/>
      </w:pPr>
      <w:r>
        <w:t xml:space="preserve">7. Individual Profile Page — Restructured</w:t>
      </w:r>
    </w:p>
    <w:p>
      <w:pPr>
        <w:spacing w:after="160"/>
      </w:pPr>
      <w:r>
        <w:t xml:space="preserve">The current profile page leads with credentials and badges before the reader reaches any actual written biography. Given that the editorial biography is the entire reason the platform exists, it should be the first substantial thing a visitor reads, not the third or fourth.</w:t>
      </w:r>
    </w:p>
    <w:p>
      <w:pPr>
        <w:pStyle w:val="Heading2"/>
      </w:pPr>
      <w:r>
        <w:t xml:space="preserve">7.1 New Layout Order</w:t>
      </w:r>
    </w:p>
    <w:p>
      <w:pPr>
        <w:pStyle w:val="ListParagraph"/>
        <w:numPr>
          <w:ilvl w:val="0"/>
          <w:numId w:val="5"/>
        </w:numPr>
        <w:spacing w:after="80"/>
      </w:pPr>
      <w:r>
        <w:t xml:space="preserve">Breadcrumb (Home / Register / [Category] / [Name]) — unchanged</w:t>
      </w:r>
    </w:p>
    <w:p>
      <w:pPr>
        <w:pStyle w:val="ListParagraph"/>
        <w:numPr>
          <w:ilvl w:val="0"/>
          <w:numId w:val="5"/>
        </w:numPr>
        <w:spacing w:after="80"/>
      </w:pPr>
      <w:r>
        <w:t xml:space="preserve">Name, role, institution — unchanged, as a compact masthead, not a large credentials block</w:t>
      </w:r>
    </w:p>
    <w:p>
      <w:pPr>
        <w:pStyle w:val="ListParagraph"/>
        <w:numPr>
          <w:ilvl w:val="0"/>
          <w:numId w:val="5"/>
        </w:numPr>
        <w:spacing w:after="80"/>
      </w:pPr>
      <w:r>
        <w:t xml:space="preserve">Verification badges (Identity Verified, Member Approved) — kept, but smaller and quieter than at present; they support trust, they do not need to dominate the top of the page</w:t>
      </w:r>
    </w:p>
    <w:p>
      <w:pPr>
        <w:pStyle w:val="ListParagraph"/>
        <w:numPr>
          <w:ilvl w:val="0"/>
          <w:numId w:val="5"/>
        </w:numPr>
        <w:spacing w:after="80"/>
      </w:pPr>
      <w:r>
        <w:t xml:space="preserve">EDITORIAL BIOGRAPHY — now positioned immediately after the masthead, as the primary content of the main column</w:t>
      </w:r>
    </w:p>
    <w:p>
      <w:pPr>
        <w:pStyle w:val="ListParagraph"/>
        <w:numPr>
          <w:ilvl w:val="0"/>
          <w:numId w:val="5"/>
        </w:numPr>
        <w:spacing w:after="80"/>
      </w:pPr>
      <w:r>
        <w:t xml:space="preserve">Career timeline — follows the biography, in the main column</w:t>
      </w:r>
    </w:p>
    <w:p>
      <w:pPr>
        <w:pStyle w:val="ListParagraph"/>
        <w:numPr>
          <w:ilvl w:val="0"/>
          <w:numId w:val="5"/>
        </w:numPr>
        <w:spacing w:after="80"/>
      </w:pPr>
      <w:r>
        <w:t xml:space="preserve">Awards &amp; recognition — follows the timeline, in the main column</w:t>
      </w:r>
    </w:p>
    <w:p>
      <w:pPr>
        <w:pStyle w:val="ListParagraph"/>
        <w:numPr>
          <w:ilvl w:val="0"/>
          <w:numId w:val="5"/>
        </w:numPr>
        <w:spacing w:after="80"/>
      </w:pPr>
      <w:r>
        <w:t xml:space="preserve">Sidebar (right-hand column, alongside the above) — carries the structured facts: specialty, institution, location, qualifications, profile publication date, package tier, and the Request Contact / Share Profile actions</w:t>
      </w:r>
    </w:p>
    <w:p>
      <w:pPr>
        <w:pBdr>
          <w:left w:val="single" w:color="8A6A1F" w:sz="12" w:space="8"/>
        </w:pBdr>
        <w:spacing w:after="200" w:before="80"/>
        <w:ind w:left="360"/>
      </w:pPr>
      <w:r>
        <w:rPr>
          <w:i/>
          <w:iCs/>
          <w:color w:val="595959"/>
          <w:sz w:val="21"/>
          <w:szCs w:val="21"/>
        </w:rPr>
        <w:t xml:space="preserve">This mirrors how an editorial publication like a serious biographical reference handles the same material: the credentials sit in a structured sidebar precisely because they validate the story, while the prose in the main column is what persuades a reader the story is worth their attention. Credentials first, story second is the directory pattern; story first, credentials alongside is the editorial pattern. IconsHerald should read as the second.</w:t>
      </w:r>
    </w:p>
    <w:p>
      <w:pPr>
        <w:pStyle w:val="Heading2"/>
      </w:pPr>
      <w:r>
        <w:t xml:space="preserve">7.2 Spacing Correction</w:t>
      </w:r>
    </w:p>
    <w:p>
      <w:pPr>
        <w:spacing w:after="160"/>
      </w:pPr>
      <w:r>
        <w:t xml:space="preserve">The founder's own review of the live site identified a visually large gap between the page header and the start of the biography text. When the page is rebuilt per Section 7.1, confirm the space between the masthead block and the start of the Editorial Biography section uses the same vertical rhythm as the space between other major sections on the page — not a wider gap left over from the previous layout.</w:t>
      </w:r>
    </w:p>
    <w:p>
      <w:pPr>
        <w:pStyle w:val="Heading2"/>
      </w:pPr>
      <w:r>
        <w:t xml:space="preserve">7.3 Profession Strip Removed From Individual Profile View</w:t>
      </w:r>
    </w:p>
    <w:p>
      <w:pPr>
        <w:spacing w:after="160"/>
      </w:pPr>
      <w:r>
        <w:t xml:space="preserve">The full profession-switcher tab strip (Doctor / Lawyer / Architect / Scientist / etc.) currently appears even while viewing one specific person's profile. This dilutes the sense of having arrived somewhere specific — it makes a single featured profile feel like one row in a directory rather than a page in its own right.</w:t>
      </w:r>
    </w:p>
    <w:p>
      <w:pPr>
        <w:shd w:fill="1A1A1A" w:val="clear"/>
        <w:spacing w:after="240" w:before="120"/>
        <w:ind w:left="200" w:right="200"/>
      </w:pPr>
      <w:r>
        <w:rPr>
          <w:rFonts w:ascii="Consolas" w:cs="Consolas" w:eastAsia="Consolas" w:hAnsi="Consolas"/>
          <w:color w:val="F2E9D0"/>
          <w:sz w:val="20"/>
          <w:szCs w:val="20"/>
        </w:rPr>
        <w:t xml:space="preserve">The profession tab strip must appear only on the Register browse/grid view. It must not appear on an individual profile page. A visitor on an individual profile page returns to browsing via the breadcrumb or a simple "Back to the Register" link, not via a full re-display of the category tabs.</w:t>
      </w:r>
    </w:p>
    <w:p>
      <w:r>
        <w:br w:type="page"/>
      </w:r>
    </w:p>
    <w:p>
      <w:pPr>
        <w:spacing w:after="100" w:before="200"/>
        <w:jc w:val="center"/>
      </w:pPr>
      <w:r>
        <w:rPr>
          <w:b/>
          <w:bCs/>
          <w:color w:val="595959"/>
          <w:sz w:val="20"/>
          <w:szCs w:val="20"/>
        </w:rPr>
        <w:t xml:space="preserve">PART FOUR</w:t>
      </w:r>
    </w:p>
    <w:p>
      <w:pPr>
        <w:spacing w:after="600"/>
        <w:jc w:val="center"/>
      </w:pPr>
      <w:r>
        <w:rPr>
          <w:b/>
          <w:bCs/>
          <w:color w:val="5C4712"/>
          <w:sz w:val="40"/>
          <w:szCs w:val="40"/>
        </w:rPr>
        <w:t xml:space="preserve">In Memoriam</w:t>
      </w:r>
    </w:p>
    <w:p>
      <w:pPr>
        <w:pStyle w:val="Heading1"/>
      </w:pPr>
      <w:r>
        <w:t xml:space="preserve">8. Renaming: Legacies → In Memoriam</w:t>
      </w:r>
    </w:p>
    <w:p>
      <w:pPr>
        <w:spacing w:after="160"/>
      </w:pPr>
      <w:r>
        <w:t xml:space="preserve">Every reference to "Legacies" or "The Legacy Register" anywhere in the site becomes "In Memoriam." This includes the navigation link, the page heading, the URL slug, the FAQ entries, the footer link, the About page reference, and any internal code naming Cursor introduces for new components — function names, route names, and data fields should use "in-memoriam" or "inMemoriam" consistently, not a mix of old and new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Old Term</w:t>
            </w:r>
          </w:p>
        </w:tc>
        <w:tc>
          <w:tcPr>
            <w:tcW w:type="dxa" w:w="58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New Term</w:t>
            </w:r>
          </w:p>
        </w:tc>
      </w:tr>
      <w:tr>
        <w:tc>
          <w:tcPr>
            <w:tcW w:type="dxa" w:w="35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Legacies</w:t>
            </w:r>
          </w:p>
        </w:tc>
        <w:tc>
          <w:tcPr>
            <w:tcW w:type="dxa" w:w="58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In Memoriam</w:t>
            </w:r>
          </w:p>
        </w:tc>
      </w:tr>
      <w:tr>
        <w:tc>
          <w:tcPr>
            <w:tcW w:type="dxa" w:w="35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The Legacy Register</w:t>
            </w:r>
          </w:p>
        </w:tc>
        <w:tc>
          <w:tcPr>
            <w:tcW w:type="dxa" w:w="58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In Memoriam (no "Register" suffix — it is a separate division, not a second register)</w:t>
            </w:r>
          </w:p>
        </w:tc>
      </w:tr>
      <w:tr>
        <w:tc>
          <w:tcPr>
            <w:tcW w:type="dxa" w:w="35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/legacies</w:t>
            </w:r>
          </w:p>
        </w:tc>
        <w:tc>
          <w:tcPr>
            <w:tcW w:type="dxa" w:w="58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/in-memoriam</w:t>
            </w:r>
          </w:p>
        </w:tc>
      </w:tr>
      <w:tr>
        <w:tc>
          <w:tcPr>
            <w:tcW w:type="dxa" w:w="35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showLegaciesHome()</w:t>
            </w:r>
          </w:p>
        </w:tc>
        <w:tc>
          <w:tcPr>
            <w:tcW w:type="dxa" w:w="58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showInMemoriamHome() (or equivalent function naming in the rebuilt codebase)</w:t>
            </w:r>
          </w:p>
        </w:tc>
      </w:tr>
    </w:tbl>
    <w:p>
      <w:pPr>
        <w:pBdr>
          <w:left w:val="single" w:color="8A6A1F" w:sz="12" w:space="8"/>
        </w:pBdr>
        <w:spacing w:after="200" w:before="80"/>
        <w:ind w:left="360"/>
      </w:pPr>
      <w:r>
        <w:rPr>
          <w:i/>
          <w:iCs/>
          <w:color w:val="595959"/>
          <w:sz w:val="21"/>
          <w:szCs w:val="21"/>
        </w:rPr>
        <w:t xml:space="preserve">"In Memoriam" is the correct, complete Latin phrase. Do not abbreviate or alter it (not "In Memorium," not "Memoriam" alone) anywhere it appears publicly.</w:t>
      </w:r>
    </w:p>
    <w:p>
      <w:pPr>
        <w:pStyle w:val="Heading1"/>
      </w:pPr>
      <w:r>
        <w:t xml:space="preserve">9. In Memoriam — Confirmed Pricing</w:t>
      </w:r>
    </w:p>
    <w:p>
      <w:pPr>
        <w:spacing w:after="160"/>
      </w:pPr>
      <w:r>
        <w:t xml:space="preserve">After considering a higher price point and the rationale for it (comparison to the cost of newspaper obituary advertisements, which can run from a few thousand rupees to tens of thousands for a large tribute placement), the founder confirmed the existing price stands. The comparison to newspaper advertising costs remains useful as a talking point if a family ever questions the fee directly, but it does not justify changing the price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Item</w:t>
            </w:r>
          </w:p>
        </w:tc>
        <w:tc>
          <w:tcPr>
            <w:tcW w:type="dxa" w:w="38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Price</w:t>
            </w:r>
          </w:p>
        </w:tc>
      </w:tr>
      <w:tr>
        <w:tc>
          <w:tcPr>
            <w:tcW w:type="dxa" w:w="55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Editorial Memorial Archive — composition, publication, hosting</w:t>
            </w:r>
          </w:p>
        </w:tc>
        <w:tc>
          <w:tcPr>
            <w:tcW w:type="dxa" w:w="38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₹25,000 + GST, covering 3 years</w:t>
            </w:r>
          </w:p>
        </w:tc>
      </w:tr>
      <w:tr>
        <w:tc>
          <w:tcPr>
            <w:tcW w:type="dxa" w:w="55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Continuation after the initial 3 years (optional)</w:t>
            </w:r>
          </w:p>
        </w:tc>
        <w:tc>
          <w:tcPr>
            <w:tcW w:type="dxa" w:w="38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₹3,000 + GST per year</w:t>
            </w:r>
          </w:p>
        </w:tc>
      </w:tr>
      <w:tr>
        <w:tc>
          <w:tcPr>
            <w:tcW w:type="dxa" w:w="55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Minor Editorial Update during the archive period</w:t>
            </w:r>
          </w:p>
        </w:tc>
        <w:tc>
          <w:tcPr>
            <w:tcW w:type="dxa" w:w="38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₹3,000 + GST</w:t>
            </w:r>
          </w:p>
        </w:tc>
      </w:tr>
      <w:tr>
        <w:tc>
          <w:tcPr>
            <w:tcW w:type="dxa" w:w="55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Major Editorial Revision during the archive period</w:t>
            </w:r>
          </w:p>
        </w:tc>
        <w:tc>
          <w:tcPr>
            <w:tcW w:type="dxa" w:w="38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₹8,000 + GST</w:t>
            </w:r>
          </w:p>
        </w:tc>
      </w:tr>
    </w:tbl>
    <w:p>
      <w:pPr>
        <w:pBdr>
          <w:left w:val="single" w:color="8A2E24" w:sz="12" w:space="8"/>
        </w:pBdr>
        <w:spacing w:after="200" w:before="80"/>
        <w:ind w:left="360"/>
      </w:pPr>
      <w:r>
        <w:rPr>
          <w:i/>
          <w:iCs/>
          <w:color w:val="8A2E24"/>
          <w:sz w:val="21"/>
          <w:szCs w:val="21"/>
        </w:rPr>
        <w:t xml:space="preserve">This pricing must not be displayed as "no renewal required" or "entirely optional" maintenance, language seen in the reviewed alternative design. The correct framing — already established and not to be altered — is that 3 years are included in the commission fee, with optional, clearly priced continuation after that period.</w:t>
      </w:r>
    </w:p>
    <w:p>
      <w:pPr>
        <w:pStyle w:val="Heading1"/>
      </w:pPr>
      <w:r>
        <w:t xml:space="preserve">10. Visual Treatment — A Distinct Dark Register, Not a Light Palette</w:t>
      </w:r>
    </w:p>
    <w:p>
      <w:pPr>
        <w:spacing w:after="160"/>
      </w:pPr>
      <w:r>
        <w:t xml:space="preserve">Two options were considered and set aside: making In Memoriam identical in tone to the living Register (rejected — it should feel like "a different room in the same house," not the same room), and giving it a light, cream-coloured palette as seen in the reviewed alternative design (rejected — it would fragment the site into two unrelated visual identities for no real benefit, and the founder has confirmed the existing dark identity is good enough).</w:t>
      </w:r>
    </w:p>
    <w:p>
      <w:pPr>
        <w:spacing w:after="160"/>
      </w:pPr>
      <w:r>
        <w:t xml:space="preserve">The confirmed approach: In Memoriam keeps the same dark foundation as the rest of the site, but in a distinct, more restrained dark register — closer to the sepia-toned treatment already present in the V8 demo's memorial section (the .lhero gradient and sepia accent colour) than to the brighter gold used for the living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Element</w:t>
            </w:r>
          </w:p>
        </w:tc>
        <w:tc>
          <w:tcPr>
            <w:tcW w:type="dxa" w:w="35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Living Register</w:t>
            </w:r>
          </w:p>
        </w:tc>
        <w:tc>
          <w:tcPr>
            <w:tcW w:type="dxa" w:w="35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In Memoriam</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Background</w:t>
            </w:r>
          </w:p>
        </w:tc>
        <w:tc>
          <w:tcPr>
            <w:tcW w:type="dxa" w:w="35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Near-black, as currently</w:t>
            </w:r>
          </w:p>
        </w:tc>
        <w:tc>
          <w:tcPr>
            <w:tcW w:type="dxa" w:w="35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Near-black, slightly warmer/deeper — no change to the base darkness</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Accent colour</w:t>
            </w:r>
          </w:p>
        </w:tc>
        <w:tc>
          <w:tcPr>
            <w:tcW w:type="dxa" w:w="35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Bright gold</w:t>
            </w:r>
          </w:p>
        </w:tc>
        <w:tc>
          <w:tcPr>
            <w:tcW w:type="dxa" w:w="35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Muted sepia / warm bronze — already defined in V8 as the sepia variable</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Typography</w:t>
            </w:r>
          </w:p>
        </w:tc>
        <w:tc>
          <w:tcPr>
            <w:tcW w:type="dxa" w:w="35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Same serif/sans system throughout</w:t>
            </w:r>
          </w:p>
        </w:tc>
        <w:tc>
          <w:tcPr>
            <w:tcW w:type="dxa" w:w="35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Same serif/sans system — no separate font choice</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Overall feeling</w:t>
            </w:r>
          </w:p>
        </w:tc>
        <w:tc>
          <w:tcPr>
            <w:tcW w:type="dxa" w:w="35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Confident, editorial, achievement-forward</w:t>
            </w:r>
          </w:p>
        </w:tc>
        <w:tc>
          <w:tcPr>
            <w:tcW w:type="dxa" w:w="35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Restrained, unhurried, dignified</w:t>
            </w:r>
          </w:p>
        </w:tc>
      </w:tr>
    </w:tbl>
    <w:p>
      <w:pPr>
        <w:shd w:fill="1A1A1A" w:val="clear"/>
        <w:spacing w:after="240" w:before="120"/>
        <w:ind w:left="200" w:right="200"/>
      </w:pPr>
      <w:r>
        <w:rPr>
          <w:rFonts w:ascii="Consolas" w:cs="Consolas" w:eastAsia="Consolas" w:hAnsi="Consolas"/>
          <w:color w:val="F2E9D0"/>
          <w:sz w:val="20"/>
          <w:szCs w:val="20"/>
        </w:rPr>
        <w:t xml:space="preserve">Reuse the sepia/warm-bronze colour treatment already defined in the V8 demo's CSS (the --sepia variable and the .lhero gradient background) for all In Memoriam pages. Do not introduce a new colour palette, and do not make In Memoriam visually identical to the living Register — both would be mistakes.</w:t>
      </w:r>
    </w:p>
    <w:p>
      <w:pPr>
        <w:pStyle w:val="Heading1"/>
      </w:pPr>
      <w:r>
        <w:t xml:space="preserve">11. In Memoriam — Page Content, Adopted From the Reviewed Design</w:t>
      </w:r>
    </w:p>
    <w:p>
      <w:pPr>
        <w:spacing w:after="160"/>
      </w:pPr>
      <w:r>
        <w:t xml:space="preserve">The reviewed alternative design's treatment of this section was its strongest single piece of work, and several specific elements are worth adopting directly, restyled into the dark/sepia palette confirmed above rather than the light palette it was originally built in.</w:t>
      </w:r>
    </w:p>
    <w:p>
      <w:pPr>
        <w:pStyle w:val="Heading2"/>
      </w:pPr>
      <w:r>
        <w:t xml:space="preserve">11.1 Landing Page</w:t>
      </w:r>
    </w:p>
    <w:p>
      <w:pPr>
        <w:spacing w:after="160"/>
      </w:pPr>
      <w:r>
        <w:t xml:space="preserve">Three short differentiators, presented clearly rather than folded into paragraphs:</w:t>
      </w:r>
    </w:p>
    <w:p>
      <w:pPr>
        <w:pStyle w:val="ListParagraph"/>
        <w:numPr>
          <w:ilvl w:val="0"/>
          <w:numId w:val="2"/>
        </w:numPr>
        <w:spacing w:after="80"/>
      </w:pPr>
      <w:r>
        <w:rPr>
          <w:b/>
          <w:bCs/>
        </w:rPr>
        <w:t xml:space="preserve">Sealed at publication — </w:t>
      </w:r>
      <w:r>
        <w:t xml:space="preserve">the profile cannot be edited or amended after publication. It is a record of a life as it was understood at the time of commission.</w:t>
      </w:r>
    </w:p>
    <w:p>
      <w:pPr>
        <w:pStyle w:val="ListParagraph"/>
        <w:numPr>
          <w:ilvl w:val="0"/>
          <w:numId w:val="2"/>
        </w:numPr>
        <w:spacing w:after="80"/>
      </w:pPr>
      <w:r>
        <w:rPr>
          <w:b/>
          <w:bCs/>
        </w:rPr>
        <w:t xml:space="preserve">Commissioned by family — </w:t>
      </w:r>
      <w:r>
        <w:t xml:space="preserve">every In Memoriam profile is initiated by someone close to the subject — a family member, executor, or authorised foundation. IconsHerald does not publish without this.</w:t>
      </w:r>
    </w:p>
    <w:p>
      <w:pPr>
        <w:pStyle w:val="ListParagraph"/>
        <w:numPr>
          <w:ilvl w:val="0"/>
          <w:numId w:val="2"/>
        </w:numPr>
        <w:spacing w:after="80"/>
      </w:pPr>
      <w:r>
        <w:rPr>
          <w:b/>
          <w:bCs/>
        </w:rPr>
        <w:t xml:space="preserve">Three years included — </w:t>
      </w:r>
      <w:r>
        <w:t xml:space="preserve">hosting, preservation, and access are included for three years. Continuation thereafter is optional, at the rate stated in Section 9.</w:t>
      </w:r>
    </w:p>
    <w:p>
      <w:pPr>
        <w:spacing w:after="160"/>
      </w:pPr>
      <w:r>
        <w:t xml:space="preserve">Call to action wording:</w:t>
      </w:r>
    </w:p>
    <w:p>
      <w:pPr>
        <w:spacing w:after="100"/>
      </w:pPr>
      <w:r>
        <w:rPr>
          <w:b/>
          <w:bCs/>
          <w:color w:val="8A2E24"/>
        </w:rPr>
        <w:t xml:space="preserve">✗  </w:t>
      </w:r>
      <w:r>
        <w:rPr>
          <w:strike/>
          <w:color w:val="8A2E24"/>
        </w:rPr>
        <w:t xml:space="preserve">Enquire about The Legacy Register →</w:t>
      </w:r>
      <w:r>
        <w:rPr>
          <w:color w:val="595959"/>
        </w:rPr>
        <w:t xml:space="preserve">   →   </w:t>
      </w:r>
      <w:r>
        <w:rPr>
          <w:b/>
          <w:bCs/>
          <w:color w:val="2E5339"/>
        </w:rPr>
        <w:t>✓  Begin an enquiry →</w:t>
      </w:r>
    </w:p>
    <w:p>
      <w:pPr>
        <w:pBdr>
          <w:left w:val="single" w:color="8A6A1F" w:sz="12" w:space="8"/>
        </w:pBdr>
        <w:spacing w:after="200" w:before="80"/>
        <w:ind w:left="360"/>
      </w:pPr>
      <w:r>
        <w:rPr>
          <w:i/>
          <w:iCs/>
          <w:color w:val="595959"/>
          <w:sz w:val="21"/>
          <w:szCs w:val="21"/>
        </w:rPr>
        <w:t xml:space="preserve">The reviewed design's instinct that this should read as the start of a conversation, not a checkout flow, is correct and worth keeping: "a commission begins with a conversation" rather than a self-service form. This is also consistent with the existing site's framing of Legacies commissions as relationship-led rather than transactional.</w:t>
      </w:r>
    </w:p>
    <w:p>
      <w:pPr>
        <w:pStyle w:val="Heading2"/>
      </w:pPr>
      <w:r>
        <w:t xml:space="preserve">11.2 Memorial Profile Page</w:t>
      </w:r>
    </w:p>
    <w:p>
      <w:pPr>
        <w:pStyle w:val="ListParagraph"/>
        <w:numPr>
          <w:ilvl w:val="0"/>
          <w:numId w:val="2"/>
        </w:numPr>
        <w:spacing w:after="80"/>
      </w:pPr>
      <w:r>
        <w:t xml:space="preserve">A "Sealed at publication" bar at the top of the page, replacing the living-Register's "Identity Verified" badge in this context — it signals permanence and respect briefly, without a long explanation.</w:t>
      </w:r>
    </w:p>
    <w:p>
      <w:pPr>
        <w:pStyle w:val="ListParagraph"/>
        <w:numPr>
          <w:ilvl w:val="0"/>
          <w:numId w:val="2"/>
        </w:numPr>
        <w:spacing w:after="80"/>
      </w:pPr>
      <w:r>
        <w:t xml:space="preserve">The biography is composed in the past tense throughout — this is an editorial requirement for every In Memoriam profile, not a stylistic option.</w:t>
      </w:r>
    </w:p>
    <w:p>
      <w:pPr>
        <w:pStyle w:val="ListParagraph"/>
        <w:numPr>
          <w:ilvl w:val="0"/>
          <w:numId w:val="2"/>
        </w:numPr>
        <w:spacing w:after="80"/>
      </w:pPr>
      <w:r>
        <w:t xml:space="preserve">Dates of birth and death, and age, displayed prominently in the masthead (e.g. "1934 – 2021 · 87 years").</w:t>
      </w:r>
    </w:p>
    <w:p>
      <w:pPr>
        <w:pStyle w:val="ListParagraph"/>
        <w:numPr>
          <w:ilvl w:val="0"/>
          <w:numId w:val="2"/>
        </w:numPr>
        <w:spacing w:after="80"/>
      </w:pPr>
      <w:r>
        <w:t xml:space="preserve">The sidebar carries "Commissioned by [Family / Foundation Name]" in place of a "Request Contact" button — there is no contact request facility on a memorial profile, since the subject is not the one to be contacted.</w:t>
      </w:r>
    </w:p>
    <w:p>
      <w:pPr>
        <w:pStyle w:val="Heading2"/>
      </w:pPr>
      <w:r>
        <w:t xml:space="preserve">11.3 Commission Enquiry</w:t>
      </w:r>
    </w:p>
    <w:p>
      <w:pPr>
        <w:spacing w:after="160"/>
      </w:pPr>
      <w:r>
        <w:t xml:space="preserve">Replaces a self-service application form. The enquiry simply asks for the family or institution's contact details and a brief description of who they wish to commemorate, and states plainly that the conversation, not the form, is the next step. The sidebar of this page should briefly tell the enquirer what material will eventually be needed (photographs, biographical notes, family input) so expectations are set before the first call, without requiring it all upfront.</w:t>
      </w:r>
    </w:p>
    <w:p>
      <w:r>
        <w:br w:type="page"/>
      </w:r>
    </w:p>
    <w:p>
      <w:pPr>
        <w:spacing w:after="100" w:before="200"/>
        <w:jc w:val="center"/>
      </w:pPr>
      <w:r>
        <w:rPr>
          <w:b/>
          <w:bCs/>
          <w:color w:val="595959"/>
          <w:sz w:val="20"/>
          <w:szCs w:val="20"/>
        </w:rPr>
        <w:t xml:space="preserve">PART FIVE</w:t>
      </w:r>
    </w:p>
    <w:p>
      <w:pPr>
        <w:spacing w:after="600"/>
        <w:jc w:val="center"/>
      </w:pPr>
      <w:r>
        <w:rPr>
          <w:b/>
          <w:bCs/>
          <w:color w:val="5C4712"/>
          <w:sz w:val="40"/>
          <w:szCs w:val="40"/>
        </w:rPr>
        <w:t xml:space="preserve">Application Form &amp; Questionnaire</w:t>
      </w:r>
    </w:p>
    <w:p>
      <w:pPr>
        <w:pStyle w:val="Heading1"/>
      </w:pPr>
      <w:r>
        <w:t xml:space="preserve">12. Application Process — Shown as Four Steps</w:t>
      </w:r>
    </w:p>
    <w:p>
      <w:pPr>
        <w:spacing w:after="160"/>
      </w:pPr>
      <w:r>
        <w:t xml:space="preserve">The current site's process explanation runs to eight steps, several of which are internal administrative detail (e.g. balance payment collection, publication mechanics) rather than anything the applicant needs to understand before applying. The reviewed alternative design's four-step version is clearer and is adopted, with administrative detail relocated to the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Step</w:t>
            </w:r>
          </w:p>
        </w:tc>
        <w:tc>
          <w:tcPr>
            <w:tcW w:type="dxa" w:w="69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What the Applicant Sees</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1. Apply</w:t>
            </w:r>
          </w:p>
        </w:tc>
        <w:tc>
          <w:tcPr>
            <w:tcW w:type="dxa" w:w="69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Submit a short application and select a package. The editorial team reviews every submission; acceptance is not automatic.</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2. Questionnaire</w:t>
            </w:r>
          </w:p>
        </w:tc>
        <w:tc>
          <w:tcPr>
            <w:tcW w:type="dxa" w:w="69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On acceptance, complete a structured questionnaire — the equivalent of a recorded interview. It can be saved and returned to.</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3. Draft &amp; review</w:t>
            </w:r>
          </w:p>
        </w:tc>
        <w:tc>
          <w:tcPr>
            <w:tcW w:type="dxa" w:w="69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The editorial team composes the profile. The applicant reviews the draft before it goes live. The remaining balance is paid on approval.</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4. Publication</w:t>
            </w:r>
          </w:p>
        </w:tc>
        <w:tc>
          <w:tcPr>
            <w:tcW w:type="dxa" w:w="69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The profile is published at its permanent address and included in the Register.</w:t>
            </w:r>
          </w:p>
        </w:tc>
      </w:tr>
    </w:tbl>
    <w:p>
      <w:pPr>
        <w:pBdr>
          <w:left w:val="single" w:color="8A6A1F" w:sz="12" w:space="8"/>
        </w:pBdr>
        <w:spacing w:after="200" w:before="80"/>
        <w:ind w:left="360"/>
      </w:pPr>
      <w:r>
        <w:rPr>
          <w:i/>
          <w:iCs/>
          <w:color w:val="595959"/>
          <w:sz w:val="21"/>
          <w:szCs w:val="21"/>
        </w:rPr>
        <w:t xml:space="preserve">The full administrative detail — application review timelines, the 50/50 payment split, what happens if an application is declined, revision-round limits — remains fully documented in the FAQ and Terms, exactly as today. Only the homepage and application-page summary is shortened to these four steps.</w:t>
      </w:r>
    </w:p>
    <w:p>
      <w:pPr>
        <w:pStyle w:val="Heading1"/>
      </w:pPr>
      <w:r>
        <w:t xml:space="preserve">13. Application Form — Tone and Structure</w:t>
      </w:r>
    </w:p>
    <w:p>
      <w:pPr>
        <w:spacing w:after="160"/>
      </w:pPr>
      <w:r>
        <w:t xml:space="preserve">The reviewed design's structural approach is sound and is adopted with its actual content checked against IconsHerald's real pricing and process (the reviewed version's own copy contained errors — see Part One, Section 2 — corrected below).</w:t>
      </w:r>
    </w:p>
    <w:p>
      <w:pPr>
        <w:pStyle w:val="Heading2"/>
      </w:pPr>
      <w:r>
        <w:t xml:space="preserve">13.1 Step 1 — Package &amp; Address</w:t>
      </w:r>
    </w:p>
    <w:p>
      <w:pPr>
        <w:spacing w:after="160"/>
      </w:pPr>
      <w:r>
        <w:t xml:space="preserve">Package selection and vanity URL selection together, as currently. Copy:</w:t>
      </w:r>
    </w:p>
    <w:p>
      <w:pPr>
        <w:spacing w:after="160"/>
      </w:pPr>
      <w:r>
        <w:rPr>
          <w:i/>
          <w:iCs/>
        </w:rPr>
        <w:t xml:space="preserve">"Your profile address is permanent once published. Choose it as you would a professional email address — your name, or a close variant."</w:t>
      </w:r>
    </w:p>
    <w:p>
      <w:pPr>
        <w:pStyle w:val="Heading2"/>
      </w:pPr>
      <w:r>
        <w:t xml:space="preserve">13.2 Step 2 — Applicant Details</w:t>
      </w:r>
    </w:p>
    <w:p>
      <w:pPr>
        <w:spacing w:after="160"/>
      </w:pPr>
      <w:r>
        <w:rPr>
          <w:i/>
          <w:iCs/>
        </w:rPr>
        <w:t xml:space="preserve">"These details are used for editorial correspondence and to verify your application. Your phone number and email address are never displayed on your profile."</w:t>
      </w:r>
    </w:p>
    <w:p>
      <w:pPr>
        <w:spacing w:after="160"/>
      </w:pPr>
      <w:r>
        <w:rPr>
          <w:i/>
          <w:iCs/>
        </w:rPr>
        <w:t xml:space="preserve">"This is an application, not an enrolment. Submitting this form does not guarantee acceptance or create a payment obligation. The editorial team reviews every application."</w:t>
      </w:r>
    </w:p>
    <w:p>
      <w:pPr>
        <w:pStyle w:val="Heading2"/>
      </w:pPr>
      <w:r>
        <w:t xml:space="preserve">13.3 Step 3 — Review &amp; Submit</w:t>
      </w:r>
    </w:p>
    <w:p>
      <w:pPr>
        <w:spacing w:after="160"/>
      </w:pPr>
      <w:r>
        <w:rPr>
          <w:i/>
          <w:iCs/>
        </w:rPr>
        <w:t xml:space="preserve">"Submitting this application confirms that the information provided is accurate to the best of your knowledge. IconsHerald retains editorial discretion regarding eligibility and publication. Acceptance is not guaranteed."</w:t>
      </w:r>
    </w:p>
    <w:p>
      <w:pPr>
        <w:pStyle w:val="Heading2"/>
      </w:pPr>
      <w:r>
        <w:t xml:space="preserve">13.4 Success State</w:t>
      </w:r>
    </w:p>
    <w:p>
      <w:pPr>
        <w:spacing w:after="160"/>
      </w:pPr>
      <w:r>
        <w:rPr>
          <w:i/>
          <w:iCs/>
        </w:rPr>
        <w:t xml:space="preserve">"Application received. The IconsHerald editorial team will review your submission. If your profile appears suitable for the Register, we will be in touch regarding the editorial process and next steps. Acceptance is not automatic. This acknowledgement does not confirm publication."</w:t>
      </w:r>
    </w:p>
    <w:p>
      <w:pPr>
        <w:pBdr>
          <w:left w:val="single" w:color="8A6A1F" w:sz="12" w:space="8"/>
        </w:pBdr>
        <w:spacing w:after="200" w:before="80"/>
        <w:ind w:left="360"/>
      </w:pPr>
      <w:r>
        <w:rPr>
          <w:i/>
          <w:iCs/>
          <w:color w:val="595959"/>
          <w:sz w:val="21"/>
          <w:szCs w:val="21"/>
        </w:rPr>
        <w:t xml:space="preserve">This success-state copy is very close to the current site's existing wording and needs only minor harmonising with the four-step framing above — it was already in good shape.</w:t>
      </w:r>
    </w:p>
    <w:p>
      <w:pPr>
        <w:pStyle w:val="Heading1"/>
      </w:pPr>
      <w:r>
        <w:t xml:space="preserve">14. Questionnaire — Rewritten as an Interview, Not a Form</w:t>
      </w:r>
    </w:p>
    <w:p>
      <w:pPr>
        <w:spacing w:after="160"/>
      </w:pPr>
      <w:r>
        <w:t xml:space="preserve">The founder's own instruction, given early in this project and restated during this revision, is the governing rule here: this questionnaire is the equivalent of an interview conducted by a journalist for a business-magazine profile. The difference between a form question and an interview question is scaffolding — a good interview question signals what kind of answer it wants, not just what topic it covers.</w:t>
      </w:r>
    </w:p>
    <w:p>
      <w:pPr>
        <w:pStyle w:val="Heading2"/>
      </w:pPr>
      <w:r>
        <w:t xml:space="preserve">14.1 Before / After Examples</w:t>
      </w:r>
    </w:p>
    <w:p>
      <w:pPr>
        <w:spacing w:after="100"/>
      </w:pPr>
      <w:r>
        <w:rPr>
          <w:b/>
          <w:bCs/>
          <w:color w:val="8A2E24"/>
        </w:rPr>
        <w:t xml:space="preserve">✗  </w:t>
      </w:r>
      <w:r>
        <w:rPr>
          <w:strike/>
          <w:color w:val="8A2E24"/>
        </w:rPr>
        <w:t xml:space="preserve">List your awards.</w:t>
      </w:r>
      <w:r>
        <w:rPr>
          <w:color w:val="595959"/>
        </w:rPr>
        <w:t xml:space="preserve">   →   </w:t>
      </w:r>
      <w:r>
        <w:rPr>
          <w:b/>
          <w:bCs/>
          <w:color w:val="2E5339"/>
        </w:rPr>
        <w:t>✓  Which recognition are you most proud of — and why? Not necessarily the most prestigious.</w:t>
      </w:r>
    </w:p>
    <w:p>
      <w:pPr>
        <w:spacing w:after="100"/>
      </w:pPr>
      <w:r>
        <w:rPr>
          <w:b/>
          <w:bCs/>
          <w:color w:val="8A2E24"/>
        </w:rPr>
        <w:t xml:space="preserve">✗  </w:t>
      </w:r>
      <w:r>
        <w:rPr>
          <w:strike/>
          <w:color w:val="8A2E24"/>
        </w:rPr>
        <w:t xml:space="preserve">Describe your career.</w:t>
      </w:r>
      <w:r>
        <w:rPr>
          <w:color w:val="595959"/>
        </w:rPr>
        <w:t xml:space="preserve">   →   </w:t>
      </w:r>
      <w:r>
        <w:rPr>
          <w:b/>
          <w:bCs/>
          <w:color w:val="2E5339"/>
        </w:rPr>
        <w:t>✓  In one sentence — who are you, professionally? Not your title: what do you actually do, and what makes your version of it distinct?</w:t>
      </w:r>
    </w:p>
    <w:p>
      <w:pPr>
        <w:spacing w:after="100"/>
      </w:pPr>
      <w:r>
        <w:rPr>
          <w:b/>
          <w:bCs/>
          <w:color w:val="8A2E24"/>
        </w:rPr>
        <w:t xml:space="preserve">✗  </w:t>
      </w:r>
      <w:r>
        <w:rPr>
          <w:strike/>
          <w:color w:val="8A2E24"/>
        </w:rPr>
        <w:t xml:space="preserve">List your publications.</w:t>
      </w:r>
      <w:r>
        <w:rPr>
          <w:color w:val="595959"/>
        </w:rPr>
        <w:t xml:space="preserve">   →   </w:t>
      </w:r>
      <w:r>
        <w:rPr>
          <w:b/>
          <w:bCs/>
          <w:color w:val="2E5339"/>
        </w:rPr>
        <w:t>✓  Which piece of published or public work best represents the way you think? Tell us why you chose it.</w:t>
      </w:r>
    </w:p>
    <w:p>
      <w:pPr>
        <w:pStyle w:val="Heading2"/>
      </w:pPr>
      <w:r>
        <w:t xml:space="preserve">14.2 Structural Requirements</w:t>
      </w:r>
    </w:p>
    <w:p>
      <w:pPr>
        <w:pStyle w:val="ListParagraph"/>
        <w:numPr>
          <w:ilvl w:val="0"/>
          <w:numId w:val="2"/>
        </w:numPr>
        <w:spacing w:after="80"/>
      </w:pPr>
      <w:r>
        <w:t xml:space="preserve">The questionnaire is organised into clearly labelled sections (e.g. "Professional Identity," "Education," "Career Timeline," "Awards &amp; Recognition"), shown one section at a time, with a visible progress indicator ("Section 1 of 11 · 0 of 43 questions answered · 0% complete").</w:t>
      </w:r>
    </w:p>
    <w:p>
      <w:pPr>
        <w:pStyle w:val="ListParagraph"/>
        <w:numPr>
          <w:ilvl w:val="0"/>
          <w:numId w:val="2"/>
        </w:numPr>
        <w:spacing w:after="80"/>
      </w:pPr>
      <w:r>
        <w:t xml:space="preserve">Every answer must be saved automatically as it is entered, so a user who closes the browser and returns later finds their progress exactly where they left it. This must work without requiring the applicant to click an explicit "save" button.</w:t>
      </w:r>
    </w:p>
    <w:p>
      <w:pPr>
        <w:pStyle w:val="ListParagraph"/>
        <w:numPr>
          <w:ilvl w:val="0"/>
          <w:numId w:val="2"/>
        </w:numPr>
        <w:spacing w:after="80"/>
      </w:pPr>
      <w:r>
        <w:t xml:space="preserve">A final, clearly labelled open field — "Is there anything else you would like us to know, that the questions above didn't ask?" — gives applicants room to volunteer material the structured questions don't anticipate. This field is mandatory to display, optional to complete.</w:t>
      </w:r>
    </w:p>
    <w:p>
      <w:pPr>
        <w:pStyle w:val="ListParagraph"/>
        <w:numPr>
          <w:ilvl w:val="0"/>
          <w:numId w:val="2"/>
        </w:numPr>
        <w:spacing w:after="80"/>
      </w:pPr>
      <w:r>
        <w:t xml:space="preserve">Each question's helper text should make clear what kind of answer is wanted (length, tone, specificity) where that isn't obvious from the question itself — matching the device shown in Section 14.1.</w:t>
      </w:r>
    </w:p>
    <w:p>
      <w:pPr>
        <w:shd w:fill="1A1A1A" w:val="clear"/>
        <w:spacing w:after="240" w:before="120"/>
        <w:ind w:left="200" w:right="200"/>
      </w:pPr>
      <w:r>
        <w:rPr>
          <w:rFonts w:ascii="Consolas" w:cs="Consolas" w:eastAsia="Consolas" w:hAnsi="Consolas"/>
          <w:color w:val="F2E9D0"/>
          <w:sz w:val="20"/>
          <w:szCs w:val="20"/>
        </w:rPr>
        <w:t xml:space="preserve">Build the questionnaire as a multi-section, auto-saving form. Each section shows a percentage-complete indicator. Do not require the applicant to complete all sections in a single sitting. Add a final open-ended 'anything else' field to every package's questionnaire, positioned as the last section before submission.</w:t>
      </w:r>
    </w:p>
    <w:p>
      <w:r>
        <w:br w:type="page"/>
      </w:r>
    </w:p>
    <w:p>
      <w:pPr>
        <w:spacing w:after="100" w:before="200"/>
        <w:jc w:val="center"/>
      </w:pPr>
      <w:r>
        <w:rPr>
          <w:b/>
          <w:bCs/>
          <w:color w:val="595959"/>
          <w:sz w:val="20"/>
          <w:szCs w:val="20"/>
        </w:rPr>
        <w:t xml:space="preserve">PART SIX</w:t>
      </w:r>
    </w:p>
    <w:p>
      <w:pPr>
        <w:spacing w:after="600"/>
        <w:jc w:val="center"/>
      </w:pPr>
      <w:r>
        <w:rPr>
          <w:b/>
          <w:bCs/>
          <w:color w:val="5C4712"/>
          <w:sz w:val="40"/>
          <w:szCs w:val="40"/>
        </w:rPr>
        <w:t xml:space="preserve">Founding Member Program</w:t>
      </w:r>
    </w:p>
    <w:p>
      <w:pPr>
        <w:pStyle w:val="Heading1"/>
      </w:pPr>
      <w:r>
        <w:t xml:space="preserve">15. Hidden From Public View, Retained Internally</w:t>
      </w:r>
    </w:p>
    <w:p>
      <w:pPr>
        <w:spacing w:after="160"/>
      </w:pPr>
      <w:r>
        <w:t xml:space="preserve">The public Founding Member program — its homepage card, its About-page section, its FAQ entries, and any self-service application path toward it — is removed in full. No visitor should be able to read about it, apply for it, or learn that it exists by browsing the site.</w:t>
      </w:r>
    </w:p>
    <w:p>
      <w:pPr>
        <w:spacing w:after="160"/>
      </w:pPr>
      <w:r>
        <w:t xml:space="preserve">The underlying mechanism is not deleted from the platform. The founder may wish to use it later — for example, inviting a small number of specific, respected people to join free of charge, in order to seed the Register with real, credible examples if the platform needs that kind of boost. Because any future use of this would be personally targeted (the founder choosing and inviting someone directly), rather than a publicly announced program with an open application path, the rebuild should be lighter than "keep the whole program dormant":</w:t>
      </w:r>
    </w:p>
    <w:p>
      <w:pPr>
        <w:pStyle w:val="ListParagraph"/>
        <w:numPr>
          <w:ilvl w:val="0"/>
          <w:numId w:val="2"/>
        </w:numPr>
        <w:spacing w:after="80"/>
      </w:pPr>
      <w:r>
        <w:t xml:space="preserve">No public program page, no application path, no FAQ entries — these can be removed cleanly now, since a future, founder-invited reactivation would never reuse this material in its original form.</w:t>
      </w:r>
    </w:p>
    <w:p>
      <w:pPr>
        <w:pStyle w:val="ListParagraph"/>
        <w:numPr>
          <w:ilvl w:val="0"/>
          <w:numId w:val="2"/>
        </w:numPr>
        <w:spacing w:after="80"/>
      </w:pPr>
      <w:r>
        <w:t xml:space="preserve">Retain a simple way for the founder to mark a profile as a Founding Member at the point of creating it, in the admin/editorial panel — this is internal, not public.</w:t>
      </w:r>
    </w:p>
    <w:p>
      <w:pPr>
        <w:pStyle w:val="ListParagraph"/>
        <w:numPr>
          <w:ilvl w:val="0"/>
          <w:numId w:val="2"/>
        </w:numPr>
        <w:spacing w:after="80"/>
      </w:pPr>
      <w:r>
        <w:t xml:space="preserve">No visible badge, label, or public explanation appears on a Founding Member profile to a visitor. If the founder later wants a visible mark of honour on an invited profile, that is a separate future decision, to be made deliberately — it is not part of this revision.</w:t>
      </w:r>
    </w:p>
    <w:p>
      <w:pPr>
        <w:shd w:fill="1A1A1A" w:val="clear"/>
        <w:spacing w:after="240" w:before="120"/>
        <w:ind w:left="200" w:right="200"/>
      </w:pPr>
      <w:r>
        <w:rPr>
          <w:rFonts w:ascii="Consolas" w:cs="Consolas" w:eastAsia="Consolas" w:hAnsi="Consolas"/>
          <w:color w:val="F2E9D0"/>
          <w:sz w:val="20"/>
          <w:szCs w:val="20"/>
        </w:rPr>
        <w:t xml:space="preserve">Remove all public-facing Founding Member content: homepage card, About page section, FAQ entries, any public application path. In the admin/editorial panel, retain a simple internal flag or field that lets the founder mark a specific profile as comped/founding at creation, for the founder's own bookkeeping. This flag must not render any visible badge or label on the public profile page.</w:t>
      </w:r>
    </w:p>
    <w:p>
      <w:r>
        <w:br w:type="page"/>
      </w:r>
    </w:p>
    <w:p>
      <w:pPr>
        <w:spacing w:after="100" w:before="200"/>
        <w:jc w:val="center"/>
      </w:pPr>
      <w:r>
        <w:rPr>
          <w:b/>
          <w:bCs/>
          <w:color w:val="595959"/>
          <w:sz w:val="20"/>
          <w:szCs w:val="20"/>
        </w:rPr>
        <w:t xml:space="preserve">PART SEVEN</w:t>
      </w:r>
    </w:p>
    <w:p>
      <w:pPr>
        <w:spacing w:after="600"/>
        <w:jc w:val="center"/>
      </w:pPr>
      <w:r>
        <w:rPr>
          <w:b/>
          <w:bCs/>
          <w:color w:val="5C4712"/>
          <w:sz w:val="40"/>
          <w:szCs w:val="40"/>
        </w:rPr>
        <w:t xml:space="preserve">Sitewide Corrections</w:t>
      </w:r>
    </w:p>
    <w:p>
      <w:pPr>
        <w:pStyle w:val="Heading1"/>
      </w:pPr>
      <w:r>
        <w:t xml:space="preserve">16. Plain Language — Sitewide Find-and-Replace List</w:t>
      </w:r>
    </w:p>
    <w:p>
      <w:pPr>
        <w:spacing w:after="160"/>
      </w:pPr>
      <w:r>
        <w:t xml:space="preserve">These specific replacements apply wherever the phrase appears across the entire site, not only on the homepage. This list should be treated as binding — if a phrase below appears anywhere else not explicitly listed (a legal page, an email template, an admin panel label), it should still be replaced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Remove</w:t>
            </w:r>
          </w:p>
        </w:tc>
        <w:tc>
          <w:tcPr>
            <w:tcW w:type="dxa" w:w="46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Replace With</w:t>
            </w:r>
          </w:p>
        </w:tc>
      </w:tr>
      <w:tr>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Professional Legacy Archive</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Professional Achievement Profiles (or simply removed where it served only as a label)</w:t>
            </w:r>
          </w:p>
        </w:tc>
      </w:tr>
      <w:tr>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Curated Editorial Publication</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Edited and written by our team</w:t>
            </w:r>
          </w:p>
        </w:tc>
      </w:tr>
      <w:tr>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Permanence</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Lasts / stays online / a record that lasts</w:t>
            </w:r>
          </w:p>
        </w:tc>
      </w:tr>
      <w:tr>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Distinguished Journeys</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Careers / achievements — used only as plain nouns, never as a section title</w:t>
            </w:r>
          </w:p>
        </w:tc>
      </w:tr>
      <w:tr>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Enduring Digital Profiles</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Profiles that stay online</w:t>
            </w:r>
          </w:p>
        </w:tc>
      </w:tr>
      <w:tr>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 modest annual fee</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Annual Profile Maintenance — ₹3,000 + GST per year (state the figure, remove the adjective)</w:t>
            </w:r>
          </w:p>
        </w:tc>
      </w:tr>
      <w:tr>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Explore the Register / Explore the Legacy Register</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Browse the Register</w:t>
            </w:r>
          </w:p>
        </w:tc>
      </w:tr>
      <w:tr>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Apply for Membership</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Apply for a Profile</w:t>
            </w:r>
          </w:p>
        </w:tc>
      </w:tr>
    </w:tbl>
    <w:p>
      <w:pPr>
        <w:pBdr>
          <w:left w:val="single" w:color="8A6A1F" w:sz="12" w:space="8"/>
        </w:pBdr>
        <w:spacing w:after="200" w:before="80"/>
        <w:ind w:left="360"/>
      </w:pPr>
      <w:r>
        <w:rPr>
          <w:i/>
          <w:iCs/>
          <w:color w:val="595959"/>
          <w:sz w:val="21"/>
          <w:szCs w:val="21"/>
        </w:rPr>
        <w:t xml:space="preserve">This list is not exhaustive by design — it captures every instance the founder and this review specifically identified. Cursor should apply the same standard (plain, ordinary words; no word that would not be spoken aloud in an actual conversation) to any other similarly ornate phrase encountered elsewhere in the existing copy, and flag anything it is unsure about rather than silently leaving it unchanged.</w:t>
      </w:r>
    </w:p>
    <w:p>
      <w:pPr>
        <w:pStyle w:val="Heading1"/>
      </w:pPr>
      <w:r>
        <w:t xml:space="preserve">17. Icon Treatment — Sitewide Rule</w:t>
      </w:r>
    </w:p>
    <w:p>
      <w:pPr>
        <w:spacing w:after="160"/>
      </w:pPr>
      <w:r>
        <w:t xml:space="preserve">This applies everywhere the existing site uses icons, not only the Register's profession filter bar covered in Part Three: the homepage profession-category cards, any footer icons, and any future icon use.</w:t>
      </w:r>
    </w:p>
    <w:p>
      <w:pPr>
        <w:shd w:fill="1A1A1A" w:val="clear"/>
        <w:spacing w:after="240" w:before="120"/>
        <w:ind w:left="200" w:right="200"/>
      </w:pPr>
      <w:r>
        <w:rPr>
          <w:rFonts w:ascii="Consolas" w:cs="Consolas" w:eastAsia="Consolas" w:hAnsi="Consolas"/>
          <w:color w:val="F2E9D0"/>
          <w:sz w:val="20"/>
          <w:szCs w:val="20"/>
        </w:rPr>
        <w:t xml:space="preserve">Do not use emoji characters, and do not default to a generic icon font's stock glyphs, anywhere on the site. Where an icon is needed, use a custom-drawn, linear, single-weight icon consistent with the existing gold-line aesthetic. AI tools and code generators will default to emoji or icon-font glyphs unless explicitly told not to — this instruction must be restated at the start of any task that involves icons, not assumed to carry over from a previous instruction.</w:t>
      </w:r>
    </w:p>
    <w:p>
      <w:pPr>
        <w:pStyle w:val="Heading1"/>
      </w:pPr>
      <w:r>
        <w:t xml:space="preserve">18. Confirmed, Unchanged Items — For the Avoidance of Doubt</w:t>
      </w:r>
    </w:p>
    <w:p>
      <w:pPr>
        <w:spacing w:after="160"/>
      </w:pPr>
      <w:r>
        <w:t xml:space="preserve">Stated here explicitly so nothing in this revision is mistaken for a reopening of a settled question:</w:t>
      </w:r>
    </w:p>
    <w:p>
      <w:pPr>
        <w:pStyle w:val="ListParagraph"/>
        <w:numPr>
          <w:ilvl w:val="0"/>
          <w:numId w:val="2"/>
        </w:numPr>
        <w:spacing w:after="80"/>
      </w:pPr>
      <w:r>
        <w:t xml:space="preserve">Living-Register pricing: ₹6,000 / ₹12,000 / ₹18,000, inclusive of GST, one-time — unchanged</w:t>
      </w:r>
    </w:p>
    <w:p>
      <w:pPr>
        <w:pStyle w:val="ListParagraph"/>
        <w:numPr>
          <w:ilvl w:val="0"/>
          <w:numId w:val="2"/>
        </w:numPr>
        <w:spacing w:after="80"/>
      </w:pPr>
      <w:r>
        <w:t xml:space="preserve">Annual Profile Maintenance &amp; Verification: ₹3,000 + GST per year — unchanged</w:t>
      </w:r>
    </w:p>
    <w:p>
      <w:pPr>
        <w:pStyle w:val="ListParagraph"/>
        <w:numPr>
          <w:ilvl w:val="0"/>
          <w:numId w:val="2"/>
        </w:numPr>
        <w:spacing w:after="80"/>
      </w:pPr>
      <w:r>
        <w:t xml:space="preserve">Minor Editorial Update ₹3,000 + GST, Major Editorial Revision ₹8,000 + GST — unchanged</w:t>
      </w:r>
    </w:p>
    <w:p>
      <w:pPr>
        <w:pStyle w:val="ListParagraph"/>
        <w:numPr>
          <w:ilvl w:val="0"/>
          <w:numId w:val="2"/>
        </w:numPr>
        <w:spacing w:after="80"/>
      </w:pPr>
      <w:r>
        <w:t xml:space="preserve">In Memoriam: ₹25,000 + GST for 3 years, ₹3,000 + GST/year continuation thereafter — unchanged</w:t>
      </w:r>
    </w:p>
    <w:p>
      <w:pPr>
        <w:pStyle w:val="ListParagraph"/>
        <w:numPr>
          <w:ilvl w:val="0"/>
          <w:numId w:val="2"/>
        </w:numPr>
        <w:spacing w:after="80"/>
      </w:pPr>
      <w:r>
        <w:t xml:space="preserve">Authentication: Google OAuth plus mandatory mobile OTP, no email/password login — unchanged</w:t>
      </w:r>
    </w:p>
    <w:p>
      <w:pPr>
        <w:pStyle w:val="ListParagraph"/>
        <w:numPr>
          <w:ilvl w:val="0"/>
          <w:numId w:val="2"/>
        </w:numPr>
        <w:spacing w:after="80"/>
      </w:pPr>
      <w:r>
        <w:t xml:space="preserve">Payment processing: Razorpay, manual one-time payment links, no recurring/subscription billing — unchanged</w:t>
      </w:r>
    </w:p>
    <w:p>
      <w:pPr>
        <w:pStyle w:val="ListParagraph"/>
        <w:numPr>
          <w:ilvl w:val="0"/>
          <w:numId w:val="2"/>
        </w:numPr>
        <w:spacing w:after="80"/>
      </w:pPr>
      <w:r>
        <w:t xml:space="preserve">AI-assisted drafting via the Claude API, with mandatory human editorial review before anything is shown to the applicant — unchanged</w:t>
      </w:r>
    </w:p>
    <w:p>
      <w:r>
        <w:br w:type="page"/>
      </w:r>
    </w:p>
    <w:p>
      <w:pPr>
        <w:spacing w:after="100" w:before="200"/>
        <w:jc w:val="center"/>
      </w:pPr>
      <w:r>
        <w:rPr>
          <w:b/>
          <w:bCs/>
          <w:color w:val="595959"/>
          <w:sz w:val="20"/>
          <w:szCs w:val="20"/>
        </w:rPr>
        <w:t xml:space="preserve">PART EIGHT</w:t>
      </w:r>
    </w:p>
    <w:p>
      <w:pPr>
        <w:spacing w:after="600"/>
        <w:jc w:val="center"/>
      </w:pPr>
      <w:r>
        <w:rPr>
          <w:b/>
          <w:bCs/>
          <w:color w:val="5C4712"/>
          <w:sz w:val="40"/>
          <w:szCs w:val="40"/>
        </w:rPr>
        <w:t xml:space="preserve">Consolidated Instructions for Cursor</w:t>
      </w:r>
    </w:p>
    <w:p>
      <w:pPr>
        <w:pStyle w:val="Heading1"/>
      </w:pPr>
      <w:r>
        <w:t xml:space="preserve">19. How to Hand This to Cursor</w:t>
      </w:r>
    </w:p>
    <w:p>
      <w:pPr>
        <w:spacing w:after="160"/>
      </w:pPr>
      <w:r>
        <w:t xml:space="preserve">Once the founder has read this document in full and is satisfied it reflects his intentions, the V9 demo HTML file should be produced first (as a single-file visual reference, following the same pattern as the V8 demo), and then both this document and the V9 file given to Cursor together for the full-stack build, alongside the existing Master Build Reference.</w:t>
      </w:r>
    </w:p>
    <w:p>
      <w:pPr>
        <w:shd w:fill="1A1A1A" w:val="clear"/>
        <w:spacing w:after="240" w:before="120"/>
        <w:ind w:left="200" w:right="200"/>
      </w:pPr>
      <w:r>
        <w:rPr>
          <w:rFonts w:ascii="Consolas" w:cs="Consolas" w:eastAsia="Consolas" w:hAnsi="Consolas"/>
          <w:color w:val="F2E9D0"/>
          <w:sz w:val="20"/>
          <w:szCs w:val="20"/>
        </w:rPr>
        <w:t xml:space="preserve">Read this V9 Revision Brief, the IconsHerald Demo V9 HTML file, and the Master Build Reference in full before writing any code. The Master Build Reference remains the governing document for the technology stack, security requirements, data model, and build phases. This V9 Revision Brief updates the homepage, navigation, copy, the Register's card and profile page structure, the In Memoriam division, the application form, and the questionnaire. Where this brief and the Master Build Reference appear to conflict, this brief takes precedence only on the specific points it addresses; the Master Build Reference governs everything else. Confirm back, in plain language, what is changing and why, before writing any code.</w:t>
      </w:r>
    </w:p>
    <w:p>
      <w:pPr>
        <w:pStyle w:val="Heading1"/>
      </w:pPr>
      <w:r>
        <w:t xml:space="preserve">20. Master Checklist</w:t>
      </w:r>
    </w:p>
    <w:p>
      <w:pPr>
        <w:spacing w:after="160"/>
      </w:pPr>
      <w:r>
        <w:t xml:space="preserve">A single-pass checklist covering every change in this document, for the founder's own final review before handing this to Cursor, and for Cursor to confirm against once the build is complete.</w:t>
      </w:r>
    </w:p>
    <w:p>
      <w:pPr>
        <w:pStyle w:val="Heading2"/>
      </w:pPr>
      <w:r>
        <w:t xml:space="preserve">Navigation</w:t>
      </w:r>
    </w:p>
    <w:p>
      <w:pPr>
        <w:pStyle w:val="ListParagraph"/>
        <w:numPr>
          <w:ilvl w:val="0"/>
          <w:numId w:val="2"/>
        </w:numPr>
        <w:spacing w:after="80"/>
      </w:pPr>
      <w:r>
        <w:t xml:space="preserve">Primary nav reduced to: Home · About · Pricing · Apply for a Profile</w:t>
      </w:r>
    </w:p>
    <w:p>
      <w:pPr>
        <w:pStyle w:val="ListParagraph"/>
        <w:numPr>
          <w:ilvl w:val="0"/>
          <w:numId w:val="2"/>
        </w:numPr>
        <w:spacing w:after="80"/>
      </w:pPr>
      <w:r>
        <w:t xml:space="preserve">In Memoriam moved to a homepage section and a labelled footer line — never in the primary nav or header, never beside a living-Register CTA with equal visual weight</w:t>
      </w:r>
    </w:p>
    <w:p>
      <w:pPr>
        <w:pStyle w:val="Heading2"/>
      </w:pPr>
      <w:r>
        <w:t xml:space="preserve">Homepage</w:t>
      </w:r>
    </w:p>
    <w:p>
      <w:pPr>
        <w:pStyle w:val="ListParagraph"/>
        <w:numPr>
          <w:ilvl w:val="0"/>
          <w:numId w:val="2"/>
        </w:numPr>
        <w:spacing w:after="80"/>
      </w:pPr>
      <w:r>
        <w:t xml:space="preserve">Eyebrow "Professional Legacy Archive" removed</w:t>
      </w:r>
    </w:p>
    <w:p>
      <w:pPr>
        <w:pStyle w:val="ListParagraph"/>
        <w:numPr>
          <w:ilvl w:val="0"/>
          <w:numId w:val="2"/>
        </w:numPr>
        <w:spacing w:after="80"/>
      </w:pPr>
      <w:r>
        <w:t xml:space="preserve">New headline: "A career that matters deserves a record that lasts."</w:t>
      </w:r>
    </w:p>
    <w:p>
      <w:pPr>
        <w:pStyle w:val="ListParagraph"/>
        <w:numPr>
          <w:ilvl w:val="0"/>
          <w:numId w:val="2"/>
        </w:numPr>
        <w:spacing w:after="80"/>
      </w:pPr>
      <w:r>
        <w:t xml:space="preserve">New supporting line per Section 5.1</w:t>
      </w:r>
    </w:p>
    <w:p>
      <w:pPr>
        <w:pStyle w:val="ListParagraph"/>
        <w:numPr>
          <w:ilvl w:val="0"/>
          <w:numId w:val="2"/>
        </w:numPr>
        <w:spacing w:after="80"/>
      </w:pPr>
      <w:r>
        <w:t xml:space="preserve">"Recognition. Legacy. Permanence." subhead removed</w:t>
      </w:r>
    </w:p>
    <w:p>
      <w:pPr>
        <w:pStyle w:val="ListParagraph"/>
        <w:numPr>
          <w:ilvl w:val="0"/>
          <w:numId w:val="2"/>
        </w:numPr>
        <w:spacing w:after="80"/>
      </w:pPr>
      <w:r>
        <w:t xml:space="preserve">Hero is text-only; no AI-generated or placeholder photograph</w:t>
      </w:r>
    </w:p>
    <w:p>
      <w:pPr>
        <w:pStyle w:val="ListParagraph"/>
        <w:numPr>
          <w:ilvl w:val="0"/>
          <w:numId w:val="2"/>
        </w:numPr>
        <w:spacing w:after="80"/>
      </w:pPr>
      <w:r>
        <w:t xml:space="preserve">Button labels updated: "Apply for a Profile," "Browse the Register"</w:t>
      </w:r>
    </w:p>
    <w:p>
      <w:pPr>
        <w:pStyle w:val="ListParagraph"/>
        <w:numPr>
          <w:ilvl w:val="0"/>
          <w:numId w:val="2"/>
        </w:numPr>
        <w:spacing w:after="80"/>
      </w:pPr>
      <w:r>
        <w:t xml:space="preserve">Selected profile cards (with editorial excerpts) moved directly beneath the hero, before any explanatory or pricing content</w:t>
      </w:r>
    </w:p>
    <w:p>
      <w:pPr>
        <w:pStyle w:val="ListParagraph"/>
        <w:numPr>
          <w:ilvl w:val="0"/>
          <w:numId w:val="2"/>
        </w:numPr>
        <w:spacing w:after="80"/>
      </w:pPr>
      <w:r>
        <w:t xml:space="preserve">"What Is IconsHerald" section shortened per Section 5.5</w:t>
      </w:r>
    </w:p>
    <w:p>
      <w:pPr>
        <w:pStyle w:val="ListParagraph"/>
        <w:numPr>
          <w:ilvl w:val="0"/>
          <w:numId w:val="2"/>
        </w:numPr>
        <w:spacing w:after="80"/>
      </w:pPr>
      <w:r>
        <w:t xml:space="preserve">In Memoriam given a short, distinctly styled homepage section, positioned after specimen profiles and before pricing</w:t>
      </w:r>
    </w:p>
    <w:p>
      <w:pPr>
        <w:pStyle w:val="ListParagraph"/>
        <w:numPr>
          <w:ilvl w:val="0"/>
          <w:numId w:val="2"/>
        </w:numPr>
        <w:spacing w:after="80"/>
      </w:pPr>
      <w:r>
        <w:t xml:space="preserve">Pricing preview states the annual maintenance figure plainly, without the word "modest"</w:t>
      </w:r>
    </w:p>
    <w:p>
      <w:pPr>
        <w:pStyle w:val="Heading2"/>
      </w:pPr>
      <w:r>
        <w:t xml:space="preserve">Register</w:t>
      </w:r>
    </w:p>
    <w:p>
      <w:pPr>
        <w:pStyle w:val="ListParagraph"/>
        <w:numPr>
          <w:ilvl w:val="0"/>
          <w:numId w:val="2"/>
        </w:numPr>
        <w:spacing w:after="80"/>
      </w:pPr>
      <w:r>
        <w:t xml:space="preserve">Every browse card includes a 2–3 sentence editorial excerpt beneath the existing facts line</w:t>
      </w:r>
    </w:p>
    <w:p>
      <w:pPr>
        <w:pStyle w:val="ListParagraph"/>
        <w:numPr>
          <w:ilvl w:val="0"/>
          <w:numId w:val="2"/>
        </w:numPr>
        <w:spacing w:after="80"/>
      </w:pPr>
      <w:r>
        <w:t xml:space="preserve">Profession filter bar uses text-only labels or a custom linear icon set — no emoji, no default icon-font glyphs</w:t>
      </w:r>
    </w:p>
    <w:p>
      <w:pPr>
        <w:pStyle w:val="Heading2"/>
      </w:pPr>
      <w:r>
        <w:t xml:space="preserve">Individual Profile Page</w:t>
      </w:r>
    </w:p>
    <w:p>
      <w:pPr>
        <w:pStyle w:val="ListParagraph"/>
        <w:numPr>
          <w:ilvl w:val="0"/>
          <w:numId w:val="2"/>
        </w:numPr>
        <w:spacing w:after="80"/>
      </w:pPr>
      <w:r>
        <w:t xml:space="preserve">Editorial biography repositioned as the first major content in the main column, directly after the masthead and verification badges</w:t>
      </w:r>
    </w:p>
    <w:p>
      <w:pPr>
        <w:pStyle w:val="ListParagraph"/>
        <w:numPr>
          <w:ilvl w:val="0"/>
          <w:numId w:val="2"/>
        </w:numPr>
        <w:spacing w:after="80"/>
      </w:pPr>
      <w:r>
        <w:t xml:space="preserve">Credentials, qualifications, and facts moved to a structured sidebar</w:t>
      </w:r>
    </w:p>
    <w:p>
      <w:pPr>
        <w:pStyle w:val="ListParagraph"/>
        <w:numPr>
          <w:ilvl w:val="0"/>
          <w:numId w:val="2"/>
        </w:numPr>
        <w:spacing w:after="80"/>
      </w:pPr>
      <w:r>
        <w:t xml:space="preserve">Spacing between masthead and biography corrected to match the page's other section spacing</w:t>
      </w:r>
    </w:p>
    <w:p>
      <w:pPr>
        <w:pStyle w:val="ListParagraph"/>
        <w:numPr>
          <w:ilvl w:val="0"/>
          <w:numId w:val="2"/>
        </w:numPr>
        <w:spacing w:after="80"/>
      </w:pPr>
      <w:r>
        <w:t xml:space="preserve">Profession tab strip removed from the individual profile view; present only on the Register browse/grid view</w:t>
      </w:r>
    </w:p>
    <w:p>
      <w:pPr>
        <w:pStyle w:val="Heading2"/>
      </w:pPr>
      <w:r>
        <w:t xml:space="preserve">In Memoriam</w:t>
      </w:r>
    </w:p>
    <w:p>
      <w:pPr>
        <w:pStyle w:val="ListParagraph"/>
        <w:numPr>
          <w:ilvl w:val="0"/>
          <w:numId w:val="2"/>
        </w:numPr>
        <w:spacing w:after="80"/>
      </w:pPr>
      <w:r>
        <w:t xml:space="preserve">Renamed from "Legacies" / "The Legacy Register" everywhere — nav, URLs, FAQ, footer, About page, internal code naming</w:t>
      </w:r>
    </w:p>
    <w:p>
      <w:pPr>
        <w:pStyle w:val="ListParagraph"/>
        <w:numPr>
          <w:ilvl w:val="0"/>
          <w:numId w:val="2"/>
        </w:numPr>
        <w:spacing w:after="80"/>
      </w:pPr>
      <w:r>
        <w:t xml:space="preserve">Pricing unchanged: ₹25,000 + GST / 3 years; ₹3,000 + GST/year continuation; ₹3,000 / ₹8,000 + GST editorial services — and never described as having "no renewal required" or as fully optional maintenance</w:t>
      </w:r>
    </w:p>
    <w:p>
      <w:pPr>
        <w:pStyle w:val="ListParagraph"/>
        <w:numPr>
          <w:ilvl w:val="0"/>
          <w:numId w:val="2"/>
        </w:numPr>
        <w:spacing w:after="80"/>
      </w:pPr>
      <w:r>
        <w:t xml:space="preserve">Visual treatment uses the existing V8 sepia/warm-bronze dark variant — not the living Register's gold, not a light/cream palette</w:t>
      </w:r>
    </w:p>
    <w:p>
      <w:pPr>
        <w:pStyle w:val="ListParagraph"/>
        <w:numPr>
          <w:ilvl w:val="0"/>
          <w:numId w:val="2"/>
        </w:numPr>
        <w:spacing w:after="80"/>
      </w:pPr>
      <w:r>
        <w:t xml:space="preserve">Landing page presents the three differentiators (sealed at publication, commissioned by family, three years included) clearly</w:t>
      </w:r>
    </w:p>
    <w:p>
      <w:pPr>
        <w:pStyle w:val="ListParagraph"/>
        <w:numPr>
          <w:ilvl w:val="0"/>
          <w:numId w:val="2"/>
        </w:numPr>
        <w:spacing w:after="80"/>
      </w:pPr>
      <w:r>
        <w:t xml:space="preserve">Memorial profile pages: "Sealed at publication" bar, past-tense biography, dates/age in the masthead, "Commissioned by" in place of a contact button</w:t>
      </w:r>
    </w:p>
    <w:p>
      <w:pPr>
        <w:pStyle w:val="ListParagraph"/>
        <w:numPr>
          <w:ilvl w:val="0"/>
          <w:numId w:val="2"/>
        </w:numPr>
        <w:spacing w:after="80"/>
      </w:pPr>
      <w:r>
        <w:t xml:space="preserve">Commission enquiry replaces a self-service application form, framed as the start of a conversation</w:t>
      </w:r>
    </w:p>
    <w:p>
      <w:pPr>
        <w:pStyle w:val="Heading2"/>
      </w:pPr>
      <w:r>
        <w:t xml:space="preserve">Application Form &amp; Questionnaire</w:t>
      </w:r>
    </w:p>
    <w:p>
      <w:pPr>
        <w:pStyle w:val="ListParagraph"/>
        <w:numPr>
          <w:ilvl w:val="0"/>
          <w:numId w:val="2"/>
        </w:numPr>
        <w:spacing w:after="80"/>
      </w:pPr>
      <w:r>
        <w:t xml:space="preserve">Process explanation shown as four steps; administrative detail relocated to FAQ</w:t>
      </w:r>
    </w:p>
    <w:p>
      <w:pPr>
        <w:pStyle w:val="ListParagraph"/>
        <w:numPr>
          <w:ilvl w:val="0"/>
          <w:numId w:val="2"/>
        </w:numPr>
        <w:spacing w:after="80"/>
      </w:pPr>
      <w:r>
        <w:t xml:space="preserve">Questionnaire restructured into clearly labelled, sectioned, percentage-tracked steps</w:t>
      </w:r>
    </w:p>
    <w:p>
      <w:pPr>
        <w:pStyle w:val="ListParagraph"/>
        <w:numPr>
          <w:ilvl w:val="0"/>
          <w:numId w:val="2"/>
        </w:numPr>
        <w:spacing w:after="80"/>
      </w:pPr>
      <w:r>
        <w:t xml:space="preserve">Questionnaire answers auto-save without requiring an explicit save action</w:t>
      </w:r>
    </w:p>
    <w:p>
      <w:pPr>
        <w:pStyle w:val="ListParagraph"/>
        <w:numPr>
          <w:ilvl w:val="0"/>
          <w:numId w:val="2"/>
        </w:numPr>
        <w:spacing w:after="80"/>
      </w:pPr>
      <w:r>
        <w:t xml:space="preserve">A final open-ended "anything else" field added to every package's questionnaire</w:t>
      </w:r>
    </w:p>
    <w:p>
      <w:pPr>
        <w:pStyle w:val="ListParagraph"/>
        <w:numPr>
          <w:ilvl w:val="0"/>
          <w:numId w:val="2"/>
        </w:numPr>
        <w:spacing w:after="80"/>
      </w:pPr>
      <w:r>
        <w:t xml:space="preserve">Question wording follows the interview-scaffolding style shown in Section 14.1</w:t>
      </w:r>
    </w:p>
    <w:p>
      <w:pPr>
        <w:pStyle w:val="Heading2"/>
      </w:pPr>
      <w:r>
        <w:t xml:space="preserve">Founding Member Program</w:t>
      </w:r>
    </w:p>
    <w:p>
      <w:pPr>
        <w:pStyle w:val="ListParagraph"/>
        <w:numPr>
          <w:ilvl w:val="0"/>
          <w:numId w:val="2"/>
        </w:numPr>
        <w:spacing w:after="80"/>
      </w:pPr>
      <w:r>
        <w:t xml:space="preserve">All public-facing program content removed: homepage card, About page section, FAQ entries, application path</w:t>
      </w:r>
    </w:p>
    <w:p>
      <w:pPr>
        <w:pStyle w:val="ListParagraph"/>
        <w:numPr>
          <w:ilvl w:val="0"/>
          <w:numId w:val="2"/>
        </w:numPr>
        <w:spacing w:after="80"/>
      </w:pPr>
      <w:r>
        <w:t xml:space="preserve">Internal-only flag retained in the admin/editorial panel for the founder's own bookkeeping; no visible public badge or label</w:t>
      </w:r>
    </w:p>
    <w:p>
      <w:pPr>
        <w:pStyle w:val="Heading2"/>
      </w:pPr>
      <w:r>
        <w:t xml:space="preserve">Sitewide</w:t>
      </w:r>
    </w:p>
    <w:p>
      <w:pPr>
        <w:pStyle w:val="ListParagraph"/>
        <w:numPr>
          <w:ilvl w:val="0"/>
          <w:numId w:val="2"/>
        </w:numPr>
        <w:spacing w:after="80"/>
      </w:pPr>
      <w:r>
        <w:t xml:space="preserve">Every phrase in the Section 16 find-and-replace table corrected wherever it appears, not only on the homepage</w:t>
      </w:r>
    </w:p>
    <w:p>
      <w:pPr>
        <w:pStyle w:val="ListParagraph"/>
        <w:numPr>
          <w:ilvl w:val="0"/>
          <w:numId w:val="2"/>
        </w:numPr>
        <w:spacing w:after="80"/>
      </w:pPr>
      <w:r>
        <w:t xml:space="preserve">No emoji or default icon-font glyphs anywhere on the site</w:t>
      </w:r>
    </w:p>
    <w:p>
      <w:pPr>
        <w:pStyle w:val="ListParagraph"/>
        <w:numPr>
          <w:ilvl w:val="0"/>
          <w:numId w:val="2"/>
        </w:numPr>
        <w:spacing w:after="80"/>
      </w:pPr>
      <w:r>
        <w:t xml:space="preserve">No fabricated statistics, counts, or numbers anywhere — every figure displayed must be real or honestly described as not yet available (e.g. "Applications are currently open" rather than an invented profile count)</w:t>
      </w:r>
    </w:p>
    <w:p>
      <w:pPr>
        <w:pStyle w:val="ListParagraph"/>
        <w:numPr>
          <w:ilvl w:val="0"/>
          <w:numId w:val="2"/>
        </w:numPr>
        <w:spacing w:after="80"/>
      </w:pPr>
      <w:r>
        <w:t xml:space="preserve">All pricing figures continue to be sourced from a single shared constants file, per the Master Build Reference's existing recommendation — this revision does not change that requirement</w:t>
      </w:r>
    </w:p>
    <w:p>
      <w:pPr>
        <w:spacing w:before="400"/>
      </w:pPr>
      <w:r>
        <w:t xml:space="preserve"/>
      </w:r>
    </w:p>
    <w:p>
      <w:pPr>
        <w:pBdr>
          <w:bottom w:val="single" w:color="C9A06A" w:sz="6" w:space="1"/>
        </w:pBdr>
        <w:spacing w:after="240" w:before="120"/>
      </w:pPr>
      <w:r>
        <w:t xml:space="preserve"/>
      </w:r>
    </w:p>
    <w:p>
      <w:pPr>
        <w:jc w:val="center"/>
      </w:pPr>
      <w:r>
        <w:rPr>
          <w:i/>
          <w:iCs/>
          <w:color w:val="595959"/>
          <w:sz w:val="20"/>
          <w:szCs w:val="20"/>
        </w:rPr>
        <w:t xml:space="preserve">End of V9 Revision Brief.</w:t>
      </w:r>
    </w:p>
    <w:p>
      <w:pPr>
        <w:spacing w:before="80"/>
        <w:jc w:val="center"/>
      </w:pPr>
      <w:r>
        <w:rPr>
          <w:b/>
          <w:bCs/>
          <w:i/>
          <w:iCs/>
          <w:color w:val="5C4712"/>
          <w:sz w:val="22"/>
          <w:szCs w:val="22"/>
        </w:rPr>
        <w:t xml:space="preserve">Herald Yourself.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4" w:sz="4" w:space="4"/>
      </w:pBdr>
      <w:tabs>
        <w:tab w:val="right" w:pos="9026"/>
      </w:tabs>
    </w:pPr>
    <w:r>
      <w:rPr>
        <w:b/>
        <w:bCs/>
        <w:color w:val="595959"/>
        <w:sz w:val="16"/>
        <w:szCs w:val="16"/>
      </w:rPr>
      <w:t xml:space="preserve">IconsHerald</w:t>
    </w:r>
    <w:r>
      <w:rPr>
        <w:color w:val="595959"/>
        <w:sz w:val="16"/>
        <w:szCs w:val="16"/>
      </w:rPr>
      <w:t xml:space="preserve">	V9 Revision Brief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06A" w:sz="8" w:space="4"/>
      </w:pBdr>
      <w:spacing w:after="200" w:before="480"/>
      <w:outlineLvl w:val="0"/>
    </w:pPr>
    <w:rPr>
      <w:rFonts w:ascii="Calibri" w:cs="Calibri" w:eastAsia="Calibri" w:hAnsi="Calibri"/>
      <w:b/>
      <w:bCs/>
      <w:color w:val="5C4712"/>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2026-06-24T13:04:25.753Z</dcterms:created>
  <dcterms:modified xsi:type="dcterms:W3CDTF">2026-06-24T13:04:25.754Z</dcterms:modified>
</cp:coreProperties>
</file>

<file path=docProps/custom.xml><?xml version="1.0" encoding="utf-8"?>
<Properties xmlns="http://schemas.openxmlformats.org/officeDocument/2006/custom-properties" xmlns:vt="http://schemas.openxmlformats.org/officeDocument/2006/docPropsVTypes"/>
</file>