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172029"/>
          <w:sz w:val="40"/>
          <w:szCs w:val="40"/>
        </w:rPr>
        <w:t xml:space="preserve">MATHEW HEMA</w:t>
      </w:r>
    </w:p>
    <w:p>
      <w:pPr>
        <w:spacing w:after="40"/>
      </w:pPr>
      <w:r>
        <w:rPr>
          <w:rFonts w:ascii="Calibri" w:cs="Calibri" w:eastAsia="Calibri" w:hAnsi="Calibri"/>
          <w:color w:val="0E7C7B"/>
          <w:sz w:val="24"/>
          <w:szCs w:val="24"/>
        </w:rPr>
        <w:t xml:space="preserve">Head of IT | CIO | Technology Strategy, Security and Transformation</w:t>
      </w:r>
    </w:p>
    <w:p>
      <w:pPr>
        <w:spacing w:after="80"/>
        <w:rPr>
          <w:color w:val="5F6E7C"/>
          <w:sz w:val="20"/>
          <w:szCs w:val="20"/>
        </w:rPr>
      </w:pPr>
      <w:r>
        <w:rPr>
          <w:rFonts w:ascii="Calibri" w:cs="Calibri" w:eastAsia="Calibri" w:hAnsi="Calibri"/>
          <w:color w:val="5F6E7C"/>
          <w:sz w:val="20"/>
          <w:szCs w:val="20"/>
        </w:rPr>
        <w:t xml:space="preserve">mathew.rua.hema@gmail.com  |  linkedin.com/in/your-handle  |  phone on request</w:t>
      </w:r>
    </w:p>
    <w:p>
      <w:pPr>
        <w:spacing w:after="80"/>
        <w:rPr>
          <w:b/>
          <w:bCs/>
        </w:rPr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Melbourne, Australia. Remote. AEST/AEDT with daily overlap to APAC, US Pacific mornings and UK afternoons. Fourteen years leading distributed teams across Australia, the USA, the UK and India.</w:t>
      </w:r>
    </w:p>
    <w:p>
      <w:pPr>
        <w:pStyle w:val="Heading2"/>
        <w:pBdr>
          <w:bottom w:val="single" w:color="0E7C7B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0E7C7B"/>
          <w:sz w:val="22"/>
          <w:szCs w:val="22"/>
        </w:rPr>
        <w:t xml:space="preserve">PROFILE</w:t>
      </w:r>
    </w:p>
    <w:p>
      <w:p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Senior technology leader with 25 years across ICT management, cyber security and digital transformation, including CIO and Head of Technology appointments. Operates at board and executive level while staying hands-on with delivery. Sector experience across not-for-profit, financial services, education, healthcare and aged care, insurance, communications and manufacturing, in in-house, outsourced, cloud and hybrid environments.</w:t>
      </w:r>
    </w:p>
    <w:p>
      <w:p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Inherit a fragmented or under-invested ICT function, establish governance and a security baseline, rebuild the team and the vendor model, then reduce cost while lifting service levels and productivity.</w:t>
      </w:r>
    </w:p>
    <w:p>
      <w:pPr>
        <w:pStyle w:val="Heading2"/>
        <w:pBdr>
          <w:bottom w:val="single" w:color="0E7C7B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0E7C7B"/>
          <w:sz w:val="22"/>
          <w:szCs w:val="22"/>
        </w:rPr>
        <w:t xml:space="preserve">SELECTED RESULTS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Scaled ICT for a global insurance services business through growth from 165 to more than 1,000 employees and revenue from $20M to $80M per annum, delivering approximately 10% cost reduction and 10% productivity improvement year on year.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and launched an automated end-to-end online lending platform from inception to live operations as CIO, then reused the learnings to rebuild the No Interest Loans Scheme platform.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Essential Eight Maturity Level 3 in two separate regulated organisations, and ISO 27001 security processes across Asia Pacific.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Rebuilt ICT teams and vendor models three times over, each time reducing cost while maintaining or improving SLA performance.</w:t>
      </w:r>
    </w:p>
    <w:p>
      <w:pPr>
        <w:pStyle w:val="Heading2"/>
        <w:pBdr>
          <w:bottom w:val="single" w:color="0E7C7B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0E7C7B"/>
          <w:sz w:val="22"/>
          <w:szCs w:val="22"/>
        </w:rPr>
        <w:t xml:space="preserve">CAPABILITIES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Strategy and Governance. </w:t>
      </w:r>
      <w:r>
        <w:rPr>
          <w:rFonts w:ascii="Calibri" w:cs="Calibri" w:eastAsia="Calibri" w:hAnsi="Calibri"/>
          <w:sz w:val="21"/>
          <w:szCs w:val="21"/>
        </w:rPr>
        <w:t xml:space="preserve">Multi-year ICT strategy and roadmaps, technology governance frameworks, board and executive reporting, IT policy development, ICT budget ownership and cost reduction.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 and Risk. </w:t>
      </w:r>
      <w:r>
        <w:rPr>
          <w:rFonts w:ascii="Calibri" w:cs="Calibri" w:eastAsia="Calibri" w:hAnsi="Calibri"/>
          <w:sz w:val="21"/>
          <w:szCs w:val="21"/>
        </w:rPr>
        <w:t xml:space="preserve">ACSC Essential Eight (to Maturity Level 3), ISO 27001, PCI DSS, risk identification and mitigation, compliance and audit, data loss prevention, disaster recovery and business continuity.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Delivery and Operations. </w:t>
      </w:r>
      <w:r>
        <w:rPr>
          <w:rFonts w:ascii="Calibri" w:cs="Calibri" w:eastAsia="Calibri" w:hAnsi="Calibri"/>
          <w:sz w:val="21"/>
          <w:szCs w:val="21"/>
        </w:rPr>
        <w:t xml:space="preserve">SDLC ownership, Agile, PRINCE2, PMBOK and ITIL service management, project and programme delivery, SLA and continuous improvement.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People and Vendors. </w:t>
      </w:r>
      <w:r>
        <w:rPr>
          <w:rFonts w:ascii="Calibri" w:cs="Calibri" w:eastAsia="Calibri" w:hAnsi="Calibri"/>
          <w:sz w:val="21"/>
          <w:szCs w:val="21"/>
        </w:rPr>
        <w:t xml:space="preserve">Team building from one to thirty people, mentoring, performance management, MSP and SaaS vendor selection, contract negotiation.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Platforms and Data. </w:t>
      </w:r>
      <w:r>
        <w:rPr>
          <w:rFonts w:ascii="Calibri" w:cs="Calibri" w:eastAsia="Calibri" w:hAnsi="Calibri"/>
          <w:sz w:val="21"/>
          <w:szCs w:val="21"/>
        </w:rPr>
        <w:t xml:space="preserve">Cloud strategy and migration across greenfield, hybrid and on-premises, systems integration and APIs, data consolidation, business analytics and centralised reporting.</w:t>
      </w:r>
    </w:p>
    <w:p>
      <w:pPr>
        <w:pStyle w:val="Heading2"/>
        <w:pBdr>
          <w:bottom w:val="single" w:color="0E7C7B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0E7C7B"/>
          <w:sz w:val="22"/>
          <w:szCs w:val="22"/>
        </w:rPr>
        <w:t xml:space="preserve">TECHNICAL ENVIRONMENT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and Identity. </w:t>
      </w:r>
      <w:r>
        <w:rPr>
          <w:rFonts w:ascii="Calibri" w:cs="Calibri" w:eastAsia="Calibri" w:hAnsi="Calibri"/>
          <w:sz w:val="21"/>
          <w:szCs w:val="21"/>
        </w:rPr>
        <w:t xml:space="preserve">Microsoft Azure, Microsoft 365, Entra ID, Intune, Conditional Access, Microsoft Defender, IaaS, PaaS and SaaS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Business Systems. </w:t>
      </w:r>
      <w:r>
        <w:rPr>
          <w:rFonts w:ascii="Calibri" w:cs="Calibri" w:eastAsia="Calibri" w:hAnsi="Calibri"/>
          <w:sz w:val="21"/>
          <w:szCs w:val="21"/>
        </w:rPr>
        <w:t xml:space="preserve">Salesforce (including NPSP), NetSuite ERP, Microsoft Dynamics AX, WordPress and WooCommerce, Asana, Jira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Integration and Automation. </w:t>
      </w:r>
      <w:r>
        <w:rPr>
          <w:rFonts w:ascii="Calibri" w:cs="Calibri" w:eastAsia="Calibri" w:hAnsi="Calibri"/>
          <w:sz w:val="21"/>
          <w:szCs w:val="21"/>
        </w:rPr>
        <w:t xml:space="preserve">REST APIs, Microsoft Graph, PowerShell, Azure Logic Apps, Zapier, ETL and reporting pipelines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 Tooling. </w:t>
      </w:r>
      <w:r>
        <w:rPr>
          <w:rFonts w:ascii="Calibri" w:cs="Calibri" w:eastAsia="Calibri" w:hAnsi="Calibri"/>
          <w:sz w:val="21"/>
          <w:szCs w:val="21"/>
        </w:rPr>
        <w:t xml:space="preserve">Endpoint and email security, MDM including MobileIron, DLP, disk and removable media encryption, vulnerability and patch management</w:t>
      </w:r>
    </w:p>
    <w:p>
      <w:pPr>
        <w:pStyle w:val="Heading2"/>
        <w:pBdr>
          <w:bottom w:val="single" w:color="0E7C7B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0E7C7B"/>
          <w:sz w:val="22"/>
          <w:szCs w:val="22"/>
        </w:rPr>
        <w:t xml:space="preserve">EXPERIENCE</w:t>
      </w:r>
    </w:p>
    <w:p>
      <w:pPr>
        <w:tabs>
          <w:tab w:val="right" w:pos="9600"/>
        </w:tabs>
        <w:spacing w:after="40" w:before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Senior ICT Manager, BirdLife Australia</w:t>
      </w:r>
      <w:r>
        <w:rPr>
          <w:rFonts w:ascii="Calibri" w:cs="Calibri" w:eastAsia="Calibri" w:hAnsi="Calibri"/>
          <w:color w:val="5F6E7C"/>
          <w:sz w:val="20"/>
          <w:szCs w:val="20"/>
        </w:rPr>
        <w:t xml:space="preserve">	May 2025 -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Full accountability for ICT strategy, operations, security and budget for a national not-for-profit, reporting to the Executive Director, Finance and Business Improvement. Team of four.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a new e-commerce capability consolidating product sales, one-off and recurring donations and memberships into a single supporter transaction channel.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Leading an Essential Eight aligned security uplift with a SaaS and identity overlay, with a gap assessment and prioritised remediation roadmap for board reporting.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Integrating Salesforce, Microsoft 365, NetSuite and Asana to remove manual handoffs, and automating identity onboarding and offboarding through Microsoft Graph.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Rebuilding the membership model across WooCommerce and Salesforce to replace fragmented legacy processes.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Mapping all revenue streams end to end into NetSuite to close reconciliation gaps.</w:t>
      </w:r>
    </w:p>
    <w:p>
      <w:pPr>
        <w:tabs>
          <w:tab w:val="right" w:pos="9600"/>
        </w:tabs>
        <w:spacing w:after="40" w:before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Head of Data, Digital and Technology, Independent Schools Victoria</w:t>
      </w:r>
      <w:r>
        <w:rPr>
          <w:rFonts w:ascii="Calibri" w:cs="Calibri" w:eastAsia="Calibri" w:hAnsi="Calibri"/>
          <w:color w:val="5F6E7C"/>
          <w:sz w:val="20"/>
          <w:szCs w:val="20"/>
        </w:rPr>
        <w:t xml:space="preserve">	Nov 2023 - May 2025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Led a team of eight across software development, security, infrastructure, research and relationship management.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Set and executed the data, digital and technology strategy underpinning advocacy, professional learning, school improvement and compliance across the independent schools sector.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systems for tracking and reporting school funding, accountability and compliance, improving accuracy and removing manual effort.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Modernised communications and media platforms and delivered hybrid event and audiovisual capability.</w:t>
      </w:r>
    </w:p>
    <w:p>
      <w:pPr>
        <w:tabs>
          <w:tab w:val="right" w:pos="9600"/>
        </w:tabs>
        <w:spacing w:after="40" w:before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IT Service Delivery Manager (Contract), Medical Indemnity Protection Society</w:t>
      </w:r>
      <w:r>
        <w:rPr>
          <w:rFonts w:ascii="Calibri" w:cs="Calibri" w:eastAsia="Calibri" w:hAnsi="Calibri"/>
          <w:color w:val="5F6E7C"/>
          <w:sz w:val="20"/>
          <w:szCs w:val="20"/>
        </w:rPr>
        <w:t xml:space="preserve">	Jul 2023 - Nov 2023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Established a service delivery framework and lifted service management maturity.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Operationalised Essential Eight Maturity Level 3 controls into business as usual processes.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Scoped the infrastructure uplift to cloud as part of a wider transformation programme.</w:t>
      </w:r>
    </w:p>
    <w:p>
      <w:pPr>
        <w:tabs>
          <w:tab w:val="right" w:pos="9600"/>
        </w:tabs>
        <w:spacing w:after="40" w:before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Project Manager, Technical Operations (Contract), 9 Yards</w:t>
      </w:r>
      <w:r>
        <w:rPr>
          <w:rFonts w:ascii="Calibri" w:cs="Calibri" w:eastAsia="Calibri" w:hAnsi="Calibri"/>
          <w:color w:val="5F6E7C"/>
          <w:sz w:val="20"/>
          <w:szCs w:val="20"/>
        </w:rPr>
        <w:t xml:space="preserve">	Apr 2023 - Jul 2023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Consolidated 32 years of accumulated technology across service delivery, infrastructure and security into an aligned enterprise operating model.</w:t>
      </w:r>
    </w:p>
    <w:p>
      <w:pPr>
        <w:tabs>
          <w:tab w:val="right" w:pos="9600"/>
        </w:tabs>
        <w:spacing w:after="40" w:before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IT Manager, Partners Wealth Group</w:t>
      </w:r>
      <w:r>
        <w:rPr>
          <w:rFonts w:ascii="Calibri" w:cs="Calibri" w:eastAsia="Calibri" w:hAnsi="Calibri"/>
          <w:color w:val="5F6E7C"/>
          <w:sz w:val="20"/>
          <w:szCs w:val="20"/>
        </w:rPr>
        <w:t xml:space="preserve">	Oct 2020 - Apr 2023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Sole and then small-team accountability for ICT across a financial services business, engaging directly with C-level and the board.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and delivered a three-year technology plan aligned to the business strategy.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Essential Eight Maturity Level 3 security processes in a regulated financial services environment.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Matured the Salesforce platform from minimum viable product into the core business process system.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Managed the managed service provider and the multi-vendor SaaS ecosystem, consolidating and renegotiating where duplication existed.</w:t>
      </w:r>
    </w:p>
    <w:p>
      <w:pPr>
        <w:tabs>
          <w:tab w:val="right" w:pos="9600"/>
        </w:tabs>
        <w:spacing w:after="40" w:before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IT Infrastructure Manager, Cheetham Salt</w:t>
      </w:r>
      <w:r>
        <w:rPr>
          <w:rFonts w:ascii="Calibri" w:cs="Calibri" w:eastAsia="Calibri" w:hAnsi="Calibri"/>
          <w:color w:val="5F6E7C"/>
          <w:sz w:val="20"/>
          <w:szCs w:val="20"/>
        </w:rPr>
        <w:t xml:space="preserve">	Sep 2019 - Oct 2020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Led strategy, transformation and migration into Microsoft Azure for a manufacturing and supply chain business.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Managed the Microsoft Dynamics AX ERP platform and supporting infrastructure.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Transitioned to new IT vendors including the managed service provider and reduced communications cost across contracts, LAN, WAN, telephony and mobile fleet.</w:t>
      </w:r>
    </w:p>
    <w:p>
      <w:pPr>
        <w:tabs>
          <w:tab w:val="right" w:pos="9600"/>
        </w:tabs>
        <w:spacing w:after="40" w:before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Chief Information Officer, Good Shepherd Microfinance</w:t>
      </w:r>
      <w:r>
        <w:rPr>
          <w:rFonts w:ascii="Calibri" w:cs="Calibri" w:eastAsia="Calibri" w:hAnsi="Calibri"/>
          <w:color w:val="5F6E7C"/>
          <w:sz w:val="20"/>
          <w:szCs w:val="20"/>
        </w:rPr>
        <w:t xml:space="preserve">	Jun 2016 - May 2019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ICT strategy, delivery and service through a cloud-based business transformation.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and launched an automated end-to-end online lending platform from inception to operations across PaaS, IaaS and SaaS in multiple cloud environments.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Redesigned and rebuilt the No Interest Loans Scheme platform in a separate cloud environment.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Rebuilt the ICT team to fit the new operating model, reduced ICT cost every quarter while maintaining SLAs, and owned all vendor sourcing and contract management.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Centralised data and reporting, delivering business analytics across multiple source systems.</w:t>
      </w:r>
    </w:p>
    <w:p>
      <w:pPr>
        <w:tabs>
          <w:tab w:val="right" w:pos="9600"/>
        </w:tabs>
        <w:spacing w:after="40" w:before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IT Operations Manager, Asia Pacific, Crawford &amp; Company Australia</w:t>
      </w:r>
      <w:r>
        <w:rPr>
          <w:rFonts w:ascii="Calibri" w:cs="Calibri" w:eastAsia="Calibri" w:hAnsi="Calibri"/>
          <w:color w:val="5F6E7C"/>
          <w:sz w:val="20"/>
          <w:szCs w:val="20"/>
        </w:rPr>
        <w:t xml:space="preserve">	Jul 2002 - Mar 2016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Accountable for ICT across Asia Pacific for a global insurance services business, reporting to the Global CIO and working with teams in the USA, UK and India.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Supported growth from 165 to more than 1,000 employees and revenue from $20M to $80M per annum.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Managed a regional ICT budget of $5M or more per annum, delivering approximately 10% cost reduction and 10% productivity improvement year on year.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ISO 27001 security processes and led the Asia Pacific data loss prevention programme.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Introduced ITIL, PMBOK, PRINCE2 and Agile methodologies and led mobility and cloud adoption.</w:t>
      </w:r>
    </w:p>
    <w:p>
      <w:pPr>
        <w:tabs>
          <w:tab w:val="right" w:pos="9600"/>
        </w:tabs>
        <w:spacing w:after="40" w:before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Senior Systems Engineer, TrademarkDM</w:t>
      </w:r>
      <w:r>
        <w:rPr>
          <w:rFonts w:ascii="Calibri" w:cs="Calibri" w:eastAsia="Calibri" w:hAnsi="Calibri"/>
          <w:color w:val="5F6E7C"/>
          <w:sz w:val="20"/>
          <w:szCs w:val="20"/>
        </w:rPr>
        <w:t xml:space="preserve">	Jan 2000 - Aug 2002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Managed infrastructure and database programming for a direct marketing firm serving Telstra and Ernst &amp; Young; mentored junior engineers.</w:t>
      </w:r>
    </w:p>
    <w:p>
      <w:pPr>
        <w:pStyle w:val="Heading2"/>
        <w:pBdr>
          <w:bottom w:val="single" w:color="0E7C7B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0E7C7B"/>
          <w:sz w:val="22"/>
          <w:szCs w:val="22"/>
        </w:rPr>
        <w:t xml:space="preserve">BOARD APPOINTMENT</w:t>
      </w:r>
    </w:p>
    <w:p>
      <w:pPr>
        <w:tabs>
          <w:tab w:val="right" w:pos="9600"/>
        </w:tabs>
        <w:spacing w:after="40" w:before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Board Member, Dandenong Community and Learning Centre</w:t>
      </w:r>
      <w:r>
        <w:rPr>
          <w:rFonts w:ascii="Calibri" w:cs="Calibri" w:eastAsia="Calibri" w:hAnsi="Calibri"/>
          <w:color w:val="5F6E7C"/>
          <w:sz w:val="20"/>
          <w:szCs w:val="20"/>
        </w:rPr>
        <w:t xml:space="preserve">	Nov 2024 -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Three-year appointment. Board lead for information technology, security and compliance; guide policy, governance and assurance for an organisation delivering legal education and services to marginalised communities.</w:t>
      </w:r>
    </w:p>
    <w:p>
      <w:pPr>
        <w:pStyle w:val="Heading2"/>
        <w:pBdr>
          <w:bottom w:val="single" w:color="0E7C7B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0E7C7B"/>
          <w:sz w:val="22"/>
          <w:szCs w:val="22"/>
        </w:rPr>
        <w:t xml:space="preserve">EDUCATION AND PROFESSIONAL DEVELOPMENT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Associate Diploma in Computer Programming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PRINCE2 Practitioner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ITIL v3 Foundation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Agile Foundation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Salesforce Administrator (platform training)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Microsoft Entra ID (platform training)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Microsoft Azure (platform training)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Applied frameworks: ACSC Essential Eight to Maturity Level 3, ISO 27001, PCI DSS, PMBOK, ITIL service management, PRINCE2, Agile</w:t>
      </w:r>
    </w:p>
    <w:p>
      <w:pPr>
        <w:spacing w:before="160"/>
        <w:rPr>
          <w:color w:val="5F6E7C"/>
          <w:sz w:val="20"/>
          <w:szCs w:val="20"/>
        </w:rPr>
      </w:pPr>
      <w:r>
        <w:rPr>
          <w:rFonts w:ascii="Calibri" w:cs="Calibri" w:eastAsia="Calibri" w:hAnsi="Calibri"/>
          <w:color w:val="5F6E7C"/>
          <w:sz w:val="20"/>
          <w:szCs w:val="20"/>
        </w:rPr>
        <w:t xml:space="preserve">Referees available on request.</w:t>
      </w:r>
    </w:p>
    <w:sectPr>
      <w:pgSz w:w="11906" w:h="16838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Mathew Hema resume</dc:title>
  <dc:creator>Mathew Hema</dc:creator>
  <cp:lastModifiedBy>Un-named</cp:lastModifiedBy>
  <cp:revision>1</cp:revision>
  <dcterms:created xsi:type="dcterms:W3CDTF">2026-09-03T10:56:36.022Z</dcterms:created>
  <dcterms:modified xsi:type="dcterms:W3CDTF">2026-09-03T10:56:36.023Z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