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00000"/>
          <w:sz w:val="46"/>
        </w:rPr>
        <w:t>AV-GRU Autoencoder Model and Flow</w:t>
      </w:r>
    </w:p>
    <w:p>
      <w:pPr>
        <w:spacing w:after="240"/>
      </w:pPr>
      <w:r>
        <w:rPr>
          <w:rFonts w:ascii="Calibri" w:hAnsi="Calibri"/>
          <w:i/>
          <w:color w:val="53606F"/>
          <w:sz w:val="24"/>
        </w:rPr>
        <w:t>Stage 2 architecture, training path, embedding flow, and runtime handoff</w:t>
      </w:r>
    </w:p>
    <w:p>
      <w:pPr>
        <w:spacing w:after="120" w:line="300" w:lineRule="auto"/>
      </w:pPr>
      <w:r>
        <w:rPr>
          <w:rFonts w:ascii="Calibri" w:hAnsi="Calibri"/>
        </w:rPr>
        <w:t>Source reviewed: /Users/spaceboxcarbonite/Downloads/av_GRU_autoencoder</w:t>
      </w:r>
    </w:p>
    <w:p>
      <w:pPr>
        <w:pStyle w:val="Heading1"/>
      </w:pPr>
      <w:r>
        <w:t>Purpose</w:t>
      </w:r>
    </w:p>
    <w:p>
      <w:pPr>
        <w:spacing w:after="120" w:line="300" w:lineRule="auto"/>
      </w:pPr>
      <w:r>
        <w:rPr>
          <w:rFonts w:ascii="Calibri" w:hAnsi="Calibri"/>
        </w:rPr>
        <w:t>This Stage 2 package turns Stage 1 hand-landmark CSVs into fixed-length motion windows, trains a GRU autoencoder, converts each window into a compact latent gesture vector, clusters those latent vectors, and exports the trained artifacts for Stage 3 runtime use.</w:t>
      </w:r>
    </w:p>
    <w:p>
      <w:pPr>
        <w:spacing w:after="120" w:line="300" w:lineRule="auto"/>
      </w:pPr>
      <w:r>
        <w:rPr>
          <w:rFonts w:ascii="Calibri" w:hAnsi="Calibri"/>
          <w:b/>
        </w:rPr>
        <w:t>Key point:</w:t>
      </w:r>
      <w:r>
        <w:rPr>
          <w:rFonts w:ascii="Calibri" w:hAnsi="Calibri"/>
        </w:rPr>
        <w:t xml:space="preserve"> the encoder input is motion only. Audio is an optional auxiliary training target, gated by each window's audio_quality value. The deployed runtime can therefore operate from camera/MediaPipe hand landmarks without live audio features.</w:t>
      </w:r>
    </w:p>
    <w:p>
      <w:pPr>
        <w:pStyle w:val="Heading1"/>
      </w:pPr>
      <w:r>
        <w:t>End-to-End Flow</w:t>
      </w:r>
    </w:p>
    <w:p>
      <w:r>
        <w:drawing>
          <wp:inline xmlns:a="http://schemas.openxmlformats.org/drawingml/2006/main" xmlns:pic="http://schemas.openxmlformats.org/drawingml/2006/picture">
            <wp:extent cx="5897880" cy="2883408"/>
            <wp:docPr id="1" name="Picture 1"/>
            <wp:cNvGraphicFramePr>
              <a:graphicFrameLocks noChangeAspect="1"/>
            </wp:cNvGraphicFramePr>
            <a:graphic>
              <a:graphicData uri="http://schemas.openxmlformats.org/drawingml/2006/picture">
                <pic:pic>
                  <pic:nvPicPr>
                    <pic:cNvPr id="0" name="AV_GRU_Autoencoder_End_to_End_Flow.png"/>
                    <pic:cNvPicPr/>
                  </pic:nvPicPr>
                  <pic:blipFill>
                    <a:blip r:embed="rId9"/>
                    <a:stretch>
                      <a:fillRect/>
                    </a:stretch>
                  </pic:blipFill>
                  <pic:spPr>
                    <a:xfrm>
                      <a:off x="0" y="0"/>
                      <a:ext cx="5897880" cy="2883408"/>
                    </a:xfrm>
                    <a:prstGeom prst="rect"/>
                  </pic:spPr>
                </pic:pic>
              </a:graphicData>
            </a:graphic>
          </wp:inline>
        </w:drawing>
      </w:r>
    </w:p>
    <w:p>
      <w:pPr>
        <w:spacing w:after="200"/>
        <w:jc w:val="center"/>
      </w:pPr>
      <w:r>
        <w:rPr>
          <w:rFonts w:ascii="Calibri" w:hAnsi="Calibri"/>
          <w:i/>
          <w:color w:val="53606F"/>
          <w:sz w:val="18"/>
        </w:rPr>
        <w:t>Figure 1. Data and artifact flow from Stage 1 landmark CSVs to Stage 3 runtime package.</w:t>
      </w:r>
    </w:p>
    <w:p>
      <w:pPr>
        <w:pStyle w:val="Heading1"/>
      </w:pPr>
      <w:r>
        <w:t>Model Architecture</w:t>
      </w:r>
    </w:p>
    <w:p>
      <w:r>
        <w:drawing>
          <wp:inline xmlns:a="http://schemas.openxmlformats.org/drawingml/2006/main" xmlns:pic="http://schemas.openxmlformats.org/drawingml/2006/picture">
            <wp:extent cx="5897880" cy="4062984"/>
            <wp:docPr id="2" name="Picture 2"/>
            <wp:cNvGraphicFramePr>
              <a:graphicFrameLocks noChangeAspect="1"/>
            </wp:cNvGraphicFramePr>
            <a:graphic>
              <a:graphicData uri="http://schemas.openxmlformats.org/drawingml/2006/picture">
                <pic:pic>
                  <pic:nvPicPr>
                    <pic:cNvPr id="0" name="AV_GRU_Autoencoder_Architecture.png"/>
                    <pic:cNvPicPr/>
                  </pic:nvPicPr>
                  <pic:blipFill>
                    <a:blip r:embed="rId10"/>
                    <a:stretch>
                      <a:fillRect/>
                    </a:stretch>
                  </pic:blipFill>
                  <pic:spPr>
                    <a:xfrm>
                      <a:off x="0" y="0"/>
                      <a:ext cx="5897880" cy="4062984"/>
                    </a:xfrm>
                    <a:prstGeom prst="rect"/>
                  </pic:spPr>
                </pic:pic>
              </a:graphicData>
            </a:graphic>
          </wp:inline>
        </w:drawing>
      </w:r>
    </w:p>
    <w:p>
      <w:pPr>
        <w:spacing w:after="200"/>
        <w:jc w:val="center"/>
      </w:pPr>
      <w:r>
        <w:rPr>
          <w:rFonts w:ascii="Calibri" w:hAnsi="Calibri"/>
          <w:i/>
          <w:color w:val="53606F"/>
          <w:sz w:val="18"/>
        </w:rPr>
        <w:t>Figure 2. Forward pass through the motion encoder, latent vector, motion decoder, and audio prediction branch.</w:t>
      </w:r>
    </w:p>
    <w:p>
      <w:pPr>
        <w:pStyle w:val="Heading1"/>
      </w:pPr>
      <w:r>
        <w:t>Data Contract</w:t>
      </w:r>
    </w:p>
    <w:p>
      <w:pPr>
        <w:spacing w:after="120" w:line="300" w:lineRule="auto"/>
      </w:pPr>
      <w:r>
        <w:rPr>
          <w:rFonts w:ascii="Calibri" w:hAnsi="Calibri"/>
        </w:rPr>
        <w:t>The default motion vector is right hand 63 values plus left hand 63 values, for 126 total features. Each hand has 21 MediaPipe landmarks with 3 coordinates. The builder uses handedness labels when available so the model sees a stable right-then-left order instead of raw detection order.</w:t>
      </w:r>
    </w:p>
    <w:p>
      <w:pPr>
        <w:pStyle w:val="ListBullet"/>
        <w:spacing w:after="80" w:line="300" w:lineRule="auto"/>
      </w:pPr>
      <w:r>
        <w:rPr>
          <w:rFonts w:ascii="Calibri" w:hAnsi="Calibri"/>
        </w:rPr>
        <w:t>Missing hands are represented with zeros.</w:t>
      </w:r>
    </w:p>
    <w:p>
      <w:pPr>
        <w:pStyle w:val="ListBullet"/>
        <w:spacing w:after="80" w:line="300" w:lineRule="auto"/>
      </w:pPr>
      <w:r>
        <w:rPr>
          <w:rFonts w:ascii="Calibri" w:hAnsi="Calibri"/>
        </w:rPr>
        <w:t>Each hand is normalized relative to the wrist landmark.</w:t>
      </w:r>
    </w:p>
    <w:p>
      <w:pPr>
        <w:pStyle w:val="ListBullet"/>
        <w:spacing w:after="80" w:line="300" w:lineRule="auto"/>
      </w:pPr>
      <w:r>
        <w:rPr>
          <w:rFonts w:ascii="Calibri" w:hAnsi="Calibri"/>
        </w:rPr>
        <w:t>Scale normalization uses landmark 9 by default.</w:t>
      </w:r>
    </w:p>
    <w:p>
      <w:pPr>
        <w:pStyle w:val="ListBullet"/>
        <w:spacing w:after="80" w:line="300" w:lineRule="auto"/>
      </w:pPr>
      <w:r>
        <w:rPr>
          <w:rFonts w:ascii="Calibri" w:hAnsi="Calibri"/>
        </w:rPr>
        <w:t>Optional velocity features can be appended, but the default configs keep include_velocity false.</w:t>
      </w:r>
    </w:p>
    <w:p>
      <w:pPr>
        <w:pStyle w:val="ListBullet"/>
        <w:spacing w:after="80" w:line="300" w:lineRule="auto"/>
      </w:pPr>
      <w:r>
        <w:rPr>
          <w:rFonts w:ascii="Calibri" w:hAnsi="Calibri"/>
        </w:rPr>
        <w:t>Each .npz window stores motion, audio, audio_quality, source metadata, and a serialized feature contract.</w:t>
      </w:r>
    </w:p>
    <w:p>
      <w:pPr>
        <w:pStyle w:val="Heading1"/>
      </w:pPr>
      <w:r>
        <w:t>Forward Pass</w:t>
      </w:r>
    </w:p>
    <w:p>
      <w:pPr>
        <w:spacing w:after="120" w:line="300" w:lineRule="auto"/>
      </w:pPr>
      <w:r>
        <w:rPr>
          <w:rFonts w:ascii="Calibri" w:hAnsi="Calibri"/>
        </w:rPr>
        <w:t>For a batch shaped B x T x motion_dim, the encoder GRU emits B x T x hidden_dim*directions. The model averages those encoded states across time and projects the result through LayerNorm plus Linear to produce the latent gesture vector z.</w:t>
      </w:r>
    </w:p>
    <w:p>
      <w:pPr>
        <w:spacing w:after="120" w:line="300" w:lineRule="auto"/>
      </w:pPr>
      <w:r>
        <w:rPr>
          <w:rFonts w:ascii="Calibri" w:hAnsi="Calibri"/>
        </w:rPr>
        <w:t>The decoder receives z repeated across T time steps, then reconstructs the full motion sequence through a decoder GRU and linear motion head. The audio head separately maps z through Linear, ReLU, and Linear layers to predict an audio summary vector.</w:t>
      </w:r>
    </w:p>
    <w:p>
      <w:pPr>
        <w:spacing w:after="120" w:line="300" w:lineRule="auto"/>
      </w:pPr>
      <w:r>
        <w:rPr>
          <w:rFonts w:ascii="Calibri" w:hAnsi="Calibri"/>
          <w:b/>
        </w:rPr>
        <w:t>Runtime note:</w:t>
      </w:r>
      <w:r>
        <w:rPr>
          <w:rFonts w:ascii="Calibri" w:hAnsi="Calibri"/>
        </w:rPr>
        <w:t xml:space="preserve"> Stage 3 only needs the encoder path and preprocessing artifacts. The audio prediction branch is useful during training when real audio guidance is enabled, but it is not required for live inference.</w:t>
      </w:r>
    </w:p>
    <w:p>
      <w:pPr>
        <w:pStyle w:val="Heading1"/>
      </w:pPr>
      <w:r>
        <w:t>Training Objective</w:t>
      </w:r>
    </w:p>
    <w:p>
      <w:pPr>
        <w:spacing w:after="120" w:line="300" w:lineRule="auto"/>
      </w:pPr>
      <w:r>
        <w:rPr>
          <w:rFonts w:ascii="Calibri" w:hAnsi="Calibri"/>
        </w:rPr>
        <w:t>The total loss is a weighted sum of motion reconstruction MSE, gated audio prediction MSE, and a latent smoothness regularizer.</w:t>
      </w:r>
    </w:p>
    <w:p>
      <w:pPr>
        <w:pStyle w:val="ListBullet"/>
        <w:spacing w:after="80" w:line="300" w:lineRule="auto"/>
      </w:pPr>
      <w:r>
        <w:rPr>
          <w:rFonts w:ascii="Calibri" w:hAnsi="Calibri"/>
        </w:rPr>
        <w:t>Motion reconstruction loss compares motion_recon against the scaled input motion sequence.</w:t>
      </w:r>
    </w:p>
    <w:p>
      <w:pPr>
        <w:pStyle w:val="ListBullet"/>
        <w:spacing w:after="80" w:line="300" w:lineRule="auto"/>
      </w:pPr>
      <w:r>
        <w:rPr>
          <w:rFonts w:ascii="Calibri" w:hAnsi="Calibri"/>
        </w:rPr>
        <w:t>Audio prediction loss compares audio_pred against the audio target; if the target is time-varying, it is averaged over time first.</w:t>
      </w:r>
    </w:p>
    <w:p>
      <w:pPr>
        <w:pStyle w:val="ListBullet"/>
        <w:spacing w:after="80" w:line="300" w:lineRule="auto"/>
      </w:pPr>
      <w:r>
        <w:rPr>
          <w:rFonts w:ascii="Calibri" w:hAnsi="Calibri"/>
        </w:rPr>
        <w:t>The audio squared error is multiplied by audio_quality, so placeholder or poor audio can have little influence.</w:t>
      </w:r>
    </w:p>
    <w:p>
      <w:pPr>
        <w:pStyle w:val="ListBullet"/>
        <w:spacing w:after="80" w:line="300" w:lineRule="auto"/>
      </w:pPr>
      <w:r>
        <w:rPr>
          <w:rFonts w:ascii="Calibri" w:hAnsi="Calibri"/>
        </w:rPr>
        <w:t>Motion-only configs set audio_prediction_weight to 0.0, which disables the audio branch's contribution.</w:t>
      </w:r>
    </w:p>
    <w:p>
      <w:pPr>
        <w:pStyle w:val="ListBullet"/>
        <w:spacing w:after="80" w:line="300" w:lineRule="auto"/>
      </w:pPr>
      <w:r>
        <w:rPr>
          <w:rFonts w:ascii="Calibri" w:hAnsi="Calibri"/>
        </w:rPr>
        <w:t>The smoothness term compares adjacent latent vectors in the current batch. With shuffled training batches, it is a light regularizer rather than guaranteed source-video temporal smoothing.</w:t>
      </w:r>
    </w:p>
    <w:p>
      <w:pPr>
        <w:pStyle w:val="Heading1"/>
      </w:pPr>
      <w:r>
        <w:t>Training Flow</w:t>
      </w:r>
    </w:p>
    <w:p>
      <w:pPr>
        <w:spacing w:after="120" w:line="300" w:lineRule="auto"/>
      </w:pPr>
      <w:r>
        <w:rPr>
          <w:rFonts w:ascii="Calibri" w:hAnsi="Calibri"/>
        </w:rPr>
        <w:t>Training discovers the manifest, validates that the first window matches the configured sequence length and feature dimensions, creates train/validation/test splits, fits a StandardScaler on flattened training motion frames, and applies that scaler to every batch before the model sees it.</w:t>
      </w:r>
    </w:p>
    <w:p>
      <w:pPr>
        <w:spacing w:after="120" w:line="300" w:lineRule="auto"/>
      </w:pPr>
      <w:r>
        <w:rPr>
          <w:rFonts w:ascii="Calibri" w:hAnsi="Calibri"/>
        </w:rPr>
        <w:t>The model is optimized with AdamW, gradient clipping, early stopping on validation total loss, and checkpointing of the best validation model.</w:t>
      </w:r>
    </w:p>
    <w:p>
      <w:pPr>
        <w:pStyle w:val="Heading1"/>
      </w:pPr>
      <w:r>
        <w:t>Embedding, Clustering, and Evaluation</w:t>
      </w:r>
    </w:p>
    <w:p>
      <w:pPr>
        <w:spacing w:after="120" w:line="300" w:lineRule="auto"/>
      </w:pPr>
      <w:r>
        <w:rPr>
          <w:rFonts w:ascii="Calibri" w:hAnsi="Calibri"/>
        </w:rPr>
        <w:t>After training, embed.py reloads the feature scaler and best checkpoint, scales each motion window, calls model.encode(...), and writes the latent vectors to embeddings.npy and embeddings.csv. The clustering step standardizes the latent columns, fits UMAP for two-dimensional visualization, then clusters the standardized latent vectors with HDBSCAN or KMeans. HDBSCAN is the default.</w:t>
      </w:r>
    </w:p>
    <w:p>
      <w:pPr>
        <w:spacing w:after="120" w:line="300" w:lineRule="auto"/>
      </w:pPr>
      <w:r>
        <w:rPr>
          <w:rFonts w:ascii="Calibri" w:hAnsi="Calibri"/>
        </w:rPr>
        <w:t>The evaluation script summarizes total windows, non-noise clusters, noise windows, and clustering metrics such as silhouette and Davies-Bouldin when enough valid clusters exist.</w:t>
      </w:r>
    </w:p>
    <w:p>
      <w:pPr>
        <w:pStyle w:val="Heading1"/>
      </w:pPr>
      <w:r>
        <w:t>Runtime Export</w:t>
      </w:r>
    </w:p>
    <w:p>
      <w:pPr>
        <w:spacing w:after="120" w:line="300" w:lineRule="auto"/>
      </w:pPr>
      <w:r>
        <w:rPr>
          <w:rFonts w:ascii="Calibri" w:hAnsi="Calibri"/>
        </w:rPr>
        <w:t>export_for_runtime.py packages the checkpoint, motion scaler, clustering artifacts, cluster names, and a compact runtime_model_config.json file. The runtime config records the feature contract and model dimensions that Stage 3 must reproduce.</w:t>
      </w:r>
    </w:p>
    <w:tbl>
      <w:tblPr>
        <w:tblStyle w:val="TableGrid"/>
        <w:tblW w:type="auto" w:w="0"/>
        <w:jc w:val="left"/>
        <w:tblLayout w:type="fixed"/>
        <w:tblLook w:firstColumn="1" w:firstRow="1" w:lastColumn="0" w:lastRow="0" w:noHBand="0" w:noVBand="1" w:val="04A0"/>
      </w:tblPr>
      <w:tblGrid>
        <w:gridCol w:w="4680"/>
        <w:gridCol w:w="4680"/>
      </w:tblGrid>
      <w:tr>
        <w:tc>
          <w:tcPr>
            <w:tcW w:type="dxa" w:w="2952"/>
            <w:tcMar>
              <w:top w:w="80" w:type="dxa"/>
              <w:start w:w="120" w:type="dxa"/>
              <w:bottom w:w="80" w:type="dxa"/>
              <w:end w:w="120" w:type="dxa"/>
            </w:tcMar>
            <w:vAlign w:val="center"/>
            <w:shd w:fill="E8EEF5"/>
          </w:tcPr>
          <w:p>
            <w:pPr>
              <w:spacing w:after="0"/>
            </w:pPr>
            <w:r/>
            <w:r>
              <w:rPr>
                <w:rFonts w:ascii="Calibri" w:hAnsi="Calibri"/>
                <w:b/>
                <w:color w:val="152330"/>
                <w:sz w:val="19"/>
              </w:rPr>
              <w:t>Artifact</w:t>
            </w:r>
          </w:p>
        </w:tc>
        <w:tc>
          <w:tcPr>
            <w:tcW w:type="dxa" w:w="6408"/>
            <w:tcMar>
              <w:top w:w="80" w:type="dxa"/>
              <w:start w:w="120" w:type="dxa"/>
              <w:bottom w:w="80" w:type="dxa"/>
              <w:end w:w="120" w:type="dxa"/>
            </w:tcMar>
            <w:vAlign w:val="center"/>
            <w:shd w:fill="E8EEF5"/>
          </w:tcPr>
          <w:p>
            <w:pPr>
              <w:spacing w:after="0"/>
            </w:pPr>
            <w:r/>
            <w:r>
              <w:rPr>
                <w:rFonts w:ascii="Calibri" w:hAnsi="Calibri"/>
                <w:b/>
                <w:color w:val="152330"/>
                <w:sz w:val="19"/>
              </w:rPr>
              <w:t>Purpose</w:t>
            </w:r>
          </w:p>
        </w:tc>
      </w:tr>
      <w:tr>
        <w:tc>
          <w:tcPr>
            <w:tcW w:type="dxa" w:w="2952"/>
            <w:tcMar>
              <w:top w:w="80" w:type="dxa"/>
              <w:start w:w="120" w:type="dxa"/>
              <w:bottom w:w="80" w:type="dxa"/>
              <w:end w:w="120" w:type="dxa"/>
            </w:tcMar>
            <w:vAlign w:val="center"/>
          </w:tcPr>
          <w:p>
            <w:pPr>
              <w:spacing w:after="0"/>
            </w:pPr>
            <w:r/>
            <w:r>
              <w:rPr>
                <w:rFonts w:ascii="Calibri" w:hAnsi="Calibri"/>
                <w:b w:val="0"/>
                <w:color w:val="152330"/>
                <w:sz w:val="19"/>
              </w:rPr>
              <w:t>best_model.pt / encoder.pt</w:t>
            </w:r>
          </w:p>
        </w:tc>
        <w:tc>
          <w:tcPr>
            <w:tcW w:type="dxa" w:w="6408"/>
            <w:tcMar>
              <w:top w:w="80" w:type="dxa"/>
              <w:start w:w="120" w:type="dxa"/>
              <w:bottom w:w="80" w:type="dxa"/>
              <w:end w:w="120" w:type="dxa"/>
            </w:tcMar>
            <w:vAlign w:val="center"/>
          </w:tcPr>
          <w:p>
            <w:pPr>
              <w:spacing w:after="0"/>
            </w:pPr>
            <w:r/>
            <w:r>
              <w:rPr>
                <w:rFonts w:ascii="Calibri" w:hAnsi="Calibri"/>
                <w:b w:val="0"/>
                <w:color w:val="152330"/>
                <w:sz w:val="19"/>
              </w:rPr>
              <w:t>Model checkpoint containing the trained AVGRUAutoencoder weights and config.</w:t>
            </w:r>
          </w:p>
        </w:tc>
      </w:tr>
      <w:tr>
        <w:tc>
          <w:tcPr>
            <w:tcW w:type="dxa" w:w="2952"/>
            <w:tcMar>
              <w:top w:w="80" w:type="dxa"/>
              <w:start w:w="120" w:type="dxa"/>
              <w:bottom w:w="80" w:type="dxa"/>
              <w:end w:w="120" w:type="dxa"/>
            </w:tcMar>
            <w:vAlign w:val="center"/>
          </w:tcPr>
          <w:p>
            <w:pPr>
              <w:spacing w:after="0"/>
            </w:pPr>
            <w:r/>
            <w:r>
              <w:rPr>
                <w:rFonts w:ascii="Calibri" w:hAnsi="Calibri"/>
                <w:b w:val="0"/>
                <w:color w:val="152330"/>
                <w:sz w:val="19"/>
              </w:rPr>
              <w:t>feature_scaler.joblib</w:t>
            </w:r>
          </w:p>
        </w:tc>
        <w:tc>
          <w:tcPr>
            <w:tcW w:type="dxa" w:w="6408"/>
            <w:tcMar>
              <w:top w:w="80" w:type="dxa"/>
              <w:start w:w="120" w:type="dxa"/>
              <w:bottom w:w="80" w:type="dxa"/>
              <w:end w:w="120" w:type="dxa"/>
            </w:tcMar>
            <w:vAlign w:val="center"/>
          </w:tcPr>
          <w:p>
            <w:pPr>
              <w:spacing w:after="0"/>
            </w:pPr>
            <w:r/>
            <w:r>
              <w:rPr>
                <w:rFonts w:ascii="Calibri" w:hAnsi="Calibri"/>
                <w:b w:val="0"/>
                <w:color w:val="152330"/>
                <w:sz w:val="19"/>
              </w:rPr>
              <w:t>StandardScaler fit on training motion frames; required before encoding.</w:t>
            </w:r>
          </w:p>
        </w:tc>
      </w:tr>
      <w:tr>
        <w:tc>
          <w:tcPr>
            <w:tcW w:type="dxa" w:w="2952"/>
            <w:tcMar>
              <w:top w:w="80" w:type="dxa"/>
              <w:start w:w="120" w:type="dxa"/>
              <w:bottom w:w="80" w:type="dxa"/>
              <w:end w:w="120" w:type="dxa"/>
            </w:tcMar>
            <w:vAlign w:val="center"/>
          </w:tcPr>
          <w:p>
            <w:pPr>
              <w:spacing w:after="0"/>
            </w:pPr>
            <w:r/>
            <w:r>
              <w:rPr>
                <w:rFonts w:ascii="Calibri" w:hAnsi="Calibri"/>
                <w:b w:val="0"/>
                <w:color w:val="152330"/>
                <w:sz w:val="19"/>
              </w:rPr>
              <w:t>embeddings.csv / embeddings.npy</w:t>
            </w:r>
          </w:p>
        </w:tc>
        <w:tc>
          <w:tcPr>
            <w:tcW w:type="dxa" w:w="6408"/>
            <w:tcMar>
              <w:top w:w="80" w:type="dxa"/>
              <w:start w:w="120" w:type="dxa"/>
              <w:bottom w:w="80" w:type="dxa"/>
              <w:end w:w="120" w:type="dxa"/>
            </w:tcMar>
            <w:vAlign w:val="center"/>
          </w:tcPr>
          <w:p>
            <w:pPr>
              <w:spacing w:after="0"/>
            </w:pPr>
            <w:r/>
            <w:r>
              <w:rPr>
                <w:rFonts w:ascii="Calibri" w:hAnsi="Calibri"/>
                <w:b w:val="0"/>
                <w:color w:val="152330"/>
                <w:sz w:val="19"/>
              </w:rPr>
              <w:t>Per-window latent gesture vectors generated by model.encode(...).</w:t>
            </w:r>
          </w:p>
        </w:tc>
      </w:tr>
      <w:tr>
        <w:tc>
          <w:tcPr>
            <w:tcW w:type="dxa" w:w="2952"/>
            <w:tcMar>
              <w:top w:w="80" w:type="dxa"/>
              <w:start w:w="120" w:type="dxa"/>
              <w:bottom w:w="80" w:type="dxa"/>
              <w:end w:w="120" w:type="dxa"/>
            </w:tcMar>
            <w:vAlign w:val="center"/>
          </w:tcPr>
          <w:p>
            <w:pPr>
              <w:spacing w:after="0"/>
            </w:pPr>
            <w:r/>
            <w:r>
              <w:rPr>
                <w:rFonts w:ascii="Calibri" w:hAnsi="Calibri"/>
                <w:b w:val="0"/>
                <w:color w:val="152330"/>
                <w:sz w:val="19"/>
              </w:rPr>
              <w:t>cluster_model.joblib</w:t>
            </w:r>
          </w:p>
        </w:tc>
        <w:tc>
          <w:tcPr>
            <w:tcW w:type="dxa" w:w="6408"/>
            <w:tcMar>
              <w:top w:w="80" w:type="dxa"/>
              <w:start w:w="120" w:type="dxa"/>
              <w:bottom w:w="80" w:type="dxa"/>
              <w:end w:w="120" w:type="dxa"/>
            </w:tcMar>
            <w:vAlign w:val="center"/>
          </w:tcPr>
          <w:p>
            <w:pPr>
              <w:spacing w:after="0"/>
            </w:pPr>
            <w:r/>
            <w:r>
              <w:rPr>
                <w:rFonts w:ascii="Calibri" w:hAnsi="Calibri"/>
                <w:b w:val="0"/>
                <w:color w:val="152330"/>
                <w:sz w:val="19"/>
              </w:rPr>
              <w:t>HDBSCAN or KMeans model trained on standardized latent vectors.</w:t>
            </w:r>
          </w:p>
        </w:tc>
      </w:tr>
      <w:tr>
        <w:tc>
          <w:tcPr>
            <w:tcW w:type="dxa" w:w="2952"/>
            <w:tcMar>
              <w:top w:w="80" w:type="dxa"/>
              <w:start w:w="120" w:type="dxa"/>
              <w:bottom w:w="80" w:type="dxa"/>
              <w:end w:w="120" w:type="dxa"/>
            </w:tcMar>
            <w:vAlign w:val="center"/>
          </w:tcPr>
          <w:p>
            <w:pPr>
              <w:spacing w:after="0"/>
            </w:pPr>
            <w:r/>
            <w:r>
              <w:rPr>
                <w:rFonts w:ascii="Calibri" w:hAnsi="Calibri"/>
                <w:b w:val="0"/>
                <w:color w:val="152330"/>
                <w:sz w:val="19"/>
              </w:rPr>
              <w:t>embedding_scaler.joblib</w:t>
            </w:r>
          </w:p>
        </w:tc>
        <w:tc>
          <w:tcPr>
            <w:tcW w:type="dxa" w:w="6408"/>
            <w:tcMar>
              <w:top w:w="80" w:type="dxa"/>
              <w:start w:w="120" w:type="dxa"/>
              <w:bottom w:w="80" w:type="dxa"/>
              <w:end w:w="120" w:type="dxa"/>
            </w:tcMar>
            <w:vAlign w:val="center"/>
          </w:tcPr>
          <w:p>
            <w:pPr>
              <w:spacing w:after="0"/>
            </w:pPr>
            <w:r/>
            <w:r>
              <w:rPr>
                <w:rFonts w:ascii="Calibri" w:hAnsi="Calibri"/>
                <w:b w:val="0"/>
                <w:color w:val="152330"/>
                <w:sz w:val="19"/>
              </w:rPr>
              <w:t>Scaler applied to latent vectors before clustering.</w:t>
            </w:r>
          </w:p>
        </w:tc>
      </w:tr>
      <w:tr>
        <w:tc>
          <w:tcPr>
            <w:tcW w:type="dxa" w:w="2952"/>
            <w:tcMar>
              <w:top w:w="80" w:type="dxa"/>
              <w:start w:w="120" w:type="dxa"/>
              <w:bottom w:w="80" w:type="dxa"/>
              <w:end w:w="120" w:type="dxa"/>
            </w:tcMar>
            <w:vAlign w:val="center"/>
          </w:tcPr>
          <w:p>
            <w:pPr>
              <w:spacing w:after="0"/>
            </w:pPr>
            <w:r/>
            <w:r>
              <w:rPr>
                <w:rFonts w:ascii="Calibri" w:hAnsi="Calibri"/>
                <w:b w:val="0"/>
                <w:color w:val="152330"/>
                <w:sz w:val="19"/>
              </w:rPr>
              <w:t>runtime_model_config.json</w:t>
            </w:r>
          </w:p>
        </w:tc>
        <w:tc>
          <w:tcPr>
            <w:tcW w:type="dxa" w:w="6408"/>
            <w:tcMar>
              <w:top w:w="80" w:type="dxa"/>
              <w:start w:w="120" w:type="dxa"/>
              <w:bottom w:w="80" w:type="dxa"/>
              <w:end w:w="120" w:type="dxa"/>
            </w:tcMar>
            <w:vAlign w:val="center"/>
          </w:tcPr>
          <w:p>
            <w:pPr>
              <w:spacing w:after="0"/>
            </w:pPr>
            <w:r/>
            <w:r>
              <w:rPr>
                <w:rFonts w:ascii="Calibri" w:hAnsi="Calibri"/>
                <w:b w:val="0"/>
                <w:color w:val="152330"/>
                <w:sz w:val="19"/>
              </w:rPr>
              <w:t>Feature contract and model dimensions that Stage 3 must follow.</w:t>
            </w:r>
          </w:p>
        </w:tc>
      </w:tr>
    </w:tbl>
    <w:p/>
    <w:p>
      <w:r>
        <w:br w:type="page"/>
      </w:r>
    </w:p>
    <w:p>
      <w:pPr>
        <w:pStyle w:val="Heading1"/>
      </w:pPr>
      <w:r>
        <w:t>Configuration Profiles</w:t>
      </w:r>
    </w:p>
    <w:tbl>
      <w:tblPr>
        <w:tblStyle w:val="TableGrid"/>
        <w:tblW w:type="auto" w:w="0"/>
        <w:jc w:val="left"/>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477"/>
            <w:tcMar>
              <w:top w:w="80" w:type="dxa"/>
              <w:start w:w="120" w:type="dxa"/>
              <w:bottom w:w="80" w:type="dxa"/>
              <w:end w:w="120" w:type="dxa"/>
            </w:tcMar>
            <w:vAlign w:val="center"/>
            <w:shd w:fill="E8EEF5"/>
          </w:tcPr>
          <w:p>
            <w:pPr>
              <w:spacing w:after="0"/>
            </w:pPr>
            <w:r/>
            <w:r>
              <w:rPr>
                <w:rFonts w:ascii="Calibri" w:hAnsi="Calibri"/>
                <w:b/>
                <w:color w:val="152330"/>
                <w:sz w:val="17"/>
              </w:rPr>
              <w:t>Config</w:t>
            </w:r>
          </w:p>
        </w:tc>
        <w:tc>
          <w:tcPr>
            <w:tcW w:type="dxa" w:w="835"/>
            <w:tcMar>
              <w:top w:w="80" w:type="dxa"/>
              <w:start w:w="120" w:type="dxa"/>
              <w:bottom w:w="80" w:type="dxa"/>
              <w:end w:w="120" w:type="dxa"/>
            </w:tcMar>
            <w:vAlign w:val="center"/>
            <w:shd w:fill="E8EEF5"/>
          </w:tcPr>
          <w:p>
            <w:pPr>
              <w:spacing w:after="0"/>
              <w:jc w:val="center"/>
            </w:pPr>
            <w:r/>
            <w:r>
              <w:rPr>
                <w:rFonts w:ascii="Calibri" w:hAnsi="Calibri"/>
                <w:b/>
                <w:color w:val="152330"/>
                <w:sz w:val="17"/>
              </w:rPr>
              <w:t>Sequence</w:t>
            </w:r>
          </w:p>
        </w:tc>
        <w:tc>
          <w:tcPr>
            <w:tcW w:type="dxa" w:w="979"/>
            <w:tcMar>
              <w:top w:w="80" w:type="dxa"/>
              <w:start w:w="120" w:type="dxa"/>
              <w:bottom w:w="80" w:type="dxa"/>
              <w:end w:w="120" w:type="dxa"/>
            </w:tcMar>
            <w:vAlign w:val="center"/>
            <w:shd w:fill="E8EEF5"/>
          </w:tcPr>
          <w:p>
            <w:pPr>
              <w:spacing w:after="0"/>
              <w:jc w:val="center"/>
            </w:pPr>
            <w:r/>
            <w:r>
              <w:rPr>
                <w:rFonts w:ascii="Calibri" w:hAnsi="Calibri"/>
                <w:b/>
                <w:color w:val="152330"/>
                <w:sz w:val="17"/>
              </w:rPr>
              <w:t>Motion dim</w:t>
            </w:r>
          </w:p>
        </w:tc>
        <w:tc>
          <w:tcPr>
            <w:tcW w:type="dxa" w:w="922"/>
            <w:tcMar>
              <w:top w:w="80" w:type="dxa"/>
              <w:start w:w="120" w:type="dxa"/>
              <w:bottom w:w="80" w:type="dxa"/>
              <w:end w:w="120" w:type="dxa"/>
            </w:tcMar>
            <w:vAlign w:val="center"/>
            <w:shd w:fill="E8EEF5"/>
          </w:tcPr>
          <w:p>
            <w:pPr>
              <w:spacing w:after="0"/>
              <w:jc w:val="center"/>
            </w:pPr>
            <w:r/>
            <w:r>
              <w:rPr>
                <w:rFonts w:ascii="Calibri" w:hAnsi="Calibri"/>
                <w:b/>
                <w:color w:val="152330"/>
                <w:sz w:val="17"/>
              </w:rPr>
              <w:t>Audio dim</w:t>
            </w:r>
          </w:p>
        </w:tc>
        <w:tc>
          <w:tcPr>
            <w:tcW w:type="dxa" w:w="835"/>
            <w:tcMar>
              <w:top w:w="80" w:type="dxa"/>
              <w:start w:w="120" w:type="dxa"/>
              <w:bottom w:w="80" w:type="dxa"/>
              <w:end w:w="120" w:type="dxa"/>
            </w:tcMar>
            <w:vAlign w:val="center"/>
            <w:shd w:fill="E8EEF5"/>
          </w:tcPr>
          <w:p>
            <w:pPr>
              <w:spacing w:after="0"/>
              <w:jc w:val="center"/>
            </w:pPr>
            <w:r/>
            <w:r>
              <w:rPr>
                <w:rFonts w:ascii="Calibri" w:hAnsi="Calibri"/>
                <w:b/>
                <w:color w:val="152330"/>
                <w:sz w:val="17"/>
              </w:rPr>
              <w:t>Hidden</w:t>
            </w:r>
          </w:p>
        </w:tc>
        <w:tc>
          <w:tcPr>
            <w:tcW w:type="dxa" w:w="835"/>
            <w:tcMar>
              <w:top w:w="80" w:type="dxa"/>
              <w:start w:w="120" w:type="dxa"/>
              <w:bottom w:w="80" w:type="dxa"/>
              <w:end w:w="120" w:type="dxa"/>
            </w:tcMar>
            <w:vAlign w:val="center"/>
            <w:shd w:fill="E8EEF5"/>
          </w:tcPr>
          <w:p>
            <w:pPr>
              <w:spacing w:after="0"/>
              <w:jc w:val="center"/>
            </w:pPr>
            <w:r/>
            <w:r>
              <w:rPr>
                <w:rFonts w:ascii="Calibri" w:hAnsi="Calibri"/>
                <w:b/>
                <w:color w:val="152330"/>
                <w:sz w:val="17"/>
              </w:rPr>
              <w:t>Latent</w:t>
            </w:r>
          </w:p>
        </w:tc>
        <w:tc>
          <w:tcPr>
            <w:tcW w:type="dxa" w:w="720"/>
            <w:tcMar>
              <w:top w:w="80" w:type="dxa"/>
              <w:start w:w="120" w:type="dxa"/>
              <w:bottom w:w="80" w:type="dxa"/>
              <w:end w:w="120" w:type="dxa"/>
            </w:tcMar>
            <w:vAlign w:val="center"/>
            <w:shd w:fill="E8EEF5"/>
          </w:tcPr>
          <w:p>
            <w:pPr>
              <w:spacing w:after="0"/>
              <w:jc w:val="center"/>
            </w:pPr>
            <w:r/>
            <w:r>
              <w:rPr>
                <w:rFonts w:ascii="Calibri" w:hAnsi="Calibri"/>
                <w:b/>
                <w:color w:val="152330"/>
                <w:sz w:val="17"/>
              </w:rPr>
              <w:t>Layers</w:t>
            </w:r>
          </w:p>
        </w:tc>
        <w:tc>
          <w:tcPr>
            <w:tcW w:type="dxa" w:w="1037"/>
            <w:tcMar>
              <w:top w:w="80" w:type="dxa"/>
              <w:start w:w="120" w:type="dxa"/>
              <w:bottom w:w="80" w:type="dxa"/>
              <w:end w:w="120" w:type="dxa"/>
            </w:tcMar>
            <w:vAlign w:val="center"/>
            <w:shd w:fill="E8EEF5"/>
          </w:tcPr>
          <w:p>
            <w:pPr>
              <w:spacing w:after="0"/>
              <w:jc w:val="center"/>
            </w:pPr>
            <w:r/>
            <w:r>
              <w:rPr>
                <w:rFonts w:ascii="Calibri" w:hAnsi="Calibri"/>
                <w:b/>
                <w:color w:val="152330"/>
                <w:sz w:val="17"/>
              </w:rPr>
              <w:t>Audio loss</w:t>
            </w:r>
          </w:p>
        </w:tc>
      </w:tr>
      <w:tr>
        <w:tc>
          <w:tcPr>
            <w:tcW w:type="dxa" w:w="2477"/>
            <w:tcMar>
              <w:top w:w="80" w:type="dxa"/>
              <w:start w:w="120" w:type="dxa"/>
              <w:bottom w:w="80" w:type="dxa"/>
              <w:end w:w="120" w:type="dxa"/>
            </w:tcMar>
            <w:vAlign w:val="center"/>
          </w:tcPr>
          <w:p>
            <w:pPr>
              <w:spacing w:after="0"/>
            </w:pPr>
            <w:r/>
            <w:r>
              <w:rPr>
                <w:rFonts w:ascii="Calibri" w:hAnsi="Calibri"/>
                <w:b w:val="0"/>
                <w:color w:val="152330"/>
                <w:sz w:val="17"/>
              </w:rPr>
              <w:t>default.yaml</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60</w:t>
            </w:r>
          </w:p>
        </w:tc>
        <w:tc>
          <w:tcPr>
            <w:tcW w:type="dxa" w:w="979"/>
            <w:tcMar>
              <w:top w:w="80" w:type="dxa"/>
              <w:start w:w="120" w:type="dxa"/>
              <w:bottom w:w="80" w:type="dxa"/>
              <w:end w:w="120" w:type="dxa"/>
            </w:tcMar>
            <w:vAlign w:val="center"/>
          </w:tcPr>
          <w:p>
            <w:pPr>
              <w:spacing w:after="0"/>
              <w:jc w:val="center"/>
            </w:pPr>
            <w:r/>
            <w:r>
              <w:rPr>
                <w:rFonts w:ascii="Calibri" w:hAnsi="Calibri"/>
                <w:b w:val="0"/>
                <w:color w:val="152330"/>
                <w:sz w:val="17"/>
              </w:rPr>
              <w:t>126</w:t>
            </w:r>
          </w:p>
        </w:tc>
        <w:tc>
          <w:tcPr>
            <w:tcW w:type="dxa" w:w="922"/>
            <w:tcMar>
              <w:top w:w="80" w:type="dxa"/>
              <w:start w:w="120" w:type="dxa"/>
              <w:bottom w:w="80" w:type="dxa"/>
              <w:end w:w="120" w:type="dxa"/>
            </w:tcMar>
            <w:vAlign w:val="center"/>
          </w:tcPr>
          <w:p>
            <w:pPr>
              <w:spacing w:after="0"/>
              <w:jc w:val="center"/>
            </w:pPr>
            <w:r/>
            <w:r>
              <w:rPr>
                <w:rFonts w:ascii="Calibri" w:hAnsi="Calibri"/>
                <w:b w:val="0"/>
                <w:color w:val="152330"/>
                <w:sz w:val="17"/>
              </w:rPr>
              <w:t>12</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128</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24</w:t>
            </w:r>
          </w:p>
        </w:tc>
        <w:tc>
          <w:tcPr>
            <w:tcW w:type="dxa" w:w="720"/>
            <w:tcMar>
              <w:top w:w="80" w:type="dxa"/>
              <w:start w:w="120" w:type="dxa"/>
              <w:bottom w:w="80" w:type="dxa"/>
              <w:end w:w="120" w:type="dxa"/>
            </w:tcMar>
            <w:vAlign w:val="center"/>
          </w:tcPr>
          <w:p>
            <w:pPr>
              <w:spacing w:after="0"/>
              <w:jc w:val="center"/>
            </w:pPr>
            <w:r/>
            <w:r>
              <w:rPr>
                <w:rFonts w:ascii="Calibri" w:hAnsi="Calibri"/>
                <w:b w:val="0"/>
                <w:color w:val="152330"/>
                <w:sz w:val="17"/>
              </w:rPr>
              <w:t>1</w:t>
            </w:r>
          </w:p>
        </w:tc>
        <w:tc>
          <w:tcPr>
            <w:tcW w:type="dxa" w:w="1037"/>
            <w:tcMar>
              <w:top w:w="80" w:type="dxa"/>
              <w:start w:w="120" w:type="dxa"/>
              <w:bottom w:w="80" w:type="dxa"/>
              <w:end w:w="120" w:type="dxa"/>
            </w:tcMar>
            <w:vAlign w:val="center"/>
          </w:tcPr>
          <w:p>
            <w:pPr>
              <w:spacing w:after="0"/>
              <w:jc w:val="center"/>
            </w:pPr>
            <w:r/>
            <w:r>
              <w:rPr>
                <w:rFonts w:ascii="Calibri" w:hAnsi="Calibri"/>
                <w:b w:val="0"/>
                <w:color w:val="152330"/>
                <w:sz w:val="17"/>
              </w:rPr>
              <w:t>0.35</w:t>
            </w:r>
          </w:p>
        </w:tc>
      </w:tr>
      <w:tr>
        <w:tc>
          <w:tcPr>
            <w:tcW w:type="dxa" w:w="2477"/>
            <w:tcMar>
              <w:top w:w="80" w:type="dxa"/>
              <w:start w:w="120" w:type="dxa"/>
              <w:bottom w:w="80" w:type="dxa"/>
              <w:end w:w="120" w:type="dxa"/>
            </w:tcMar>
            <w:vAlign w:val="center"/>
          </w:tcPr>
          <w:p>
            <w:pPr>
              <w:spacing w:after="0"/>
            </w:pPr>
            <w:r/>
            <w:r>
              <w:rPr>
                <w:rFonts w:ascii="Calibri" w:hAnsi="Calibri"/>
                <w:b w:val="0"/>
                <w:color w:val="152330"/>
                <w:sz w:val="17"/>
              </w:rPr>
              <w:t>full_av.yaml</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60</w:t>
            </w:r>
          </w:p>
        </w:tc>
        <w:tc>
          <w:tcPr>
            <w:tcW w:type="dxa" w:w="979"/>
            <w:tcMar>
              <w:top w:w="80" w:type="dxa"/>
              <w:start w:w="120" w:type="dxa"/>
              <w:bottom w:w="80" w:type="dxa"/>
              <w:end w:w="120" w:type="dxa"/>
            </w:tcMar>
            <w:vAlign w:val="center"/>
          </w:tcPr>
          <w:p>
            <w:pPr>
              <w:spacing w:after="0"/>
              <w:jc w:val="center"/>
            </w:pPr>
            <w:r/>
            <w:r>
              <w:rPr>
                <w:rFonts w:ascii="Calibri" w:hAnsi="Calibri"/>
                <w:b w:val="0"/>
                <w:color w:val="152330"/>
                <w:sz w:val="17"/>
              </w:rPr>
              <w:t>126</w:t>
            </w:r>
          </w:p>
        </w:tc>
        <w:tc>
          <w:tcPr>
            <w:tcW w:type="dxa" w:w="922"/>
            <w:tcMar>
              <w:top w:w="80" w:type="dxa"/>
              <w:start w:w="120" w:type="dxa"/>
              <w:bottom w:w="80" w:type="dxa"/>
              <w:end w:w="120" w:type="dxa"/>
            </w:tcMar>
            <w:vAlign w:val="center"/>
          </w:tcPr>
          <w:p>
            <w:pPr>
              <w:spacing w:after="0"/>
              <w:jc w:val="center"/>
            </w:pPr>
            <w:r/>
            <w:r>
              <w:rPr>
                <w:rFonts w:ascii="Calibri" w:hAnsi="Calibri"/>
                <w:b w:val="0"/>
                <w:color w:val="152330"/>
                <w:sz w:val="17"/>
              </w:rPr>
              <w:t>12</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128</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24</w:t>
            </w:r>
          </w:p>
        </w:tc>
        <w:tc>
          <w:tcPr>
            <w:tcW w:type="dxa" w:w="720"/>
            <w:tcMar>
              <w:top w:w="80" w:type="dxa"/>
              <w:start w:w="120" w:type="dxa"/>
              <w:bottom w:w="80" w:type="dxa"/>
              <w:end w:w="120" w:type="dxa"/>
            </w:tcMar>
            <w:vAlign w:val="center"/>
          </w:tcPr>
          <w:p>
            <w:pPr>
              <w:spacing w:after="0"/>
              <w:jc w:val="center"/>
            </w:pPr>
            <w:r/>
            <w:r>
              <w:rPr>
                <w:rFonts w:ascii="Calibri" w:hAnsi="Calibri"/>
                <w:b w:val="0"/>
                <w:color w:val="152330"/>
                <w:sz w:val="17"/>
              </w:rPr>
              <w:t>2</w:t>
            </w:r>
          </w:p>
        </w:tc>
        <w:tc>
          <w:tcPr>
            <w:tcW w:type="dxa" w:w="1037"/>
            <w:tcMar>
              <w:top w:w="80" w:type="dxa"/>
              <w:start w:w="120" w:type="dxa"/>
              <w:bottom w:w="80" w:type="dxa"/>
              <w:end w:w="120" w:type="dxa"/>
            </w:tcMar>
            <w:vAlign w:val="center"/>
          </w:tcPr>
          <w:p>
            <w:pPr>
              <w:spacing w:after="0"/>
              <w:jc w:val="center"/>
            </w:pPr>
            <w:r/>
            <w:r>
              <w:rPr>
                <w:rFonts w:ascii="Calibri" w:hAnsi="Calibri"/>
                <w:b w:val="0"/>
                <w:color w:val="152330"/>
                <w:sz w:val="17"/>
              </w:rPr>
              <w:t>0.35</w:t>
            </w:r>
          </w:p>
        </w:tc>
      </w:tr>
      <w:tr>
        <w:tc>
          <w:tcPr>
            <w:tcW w:type="dxa" w:w="2477"/>
            <w:tcMar>
              <w:top w:w="80" w:type="dxa"/>
              <w:start w:w="120" w:type="dxa"/>
              <w:bottom w:w="80" w:type="dxa"/>
              <w:end w:w="120" w:type="dxa"/>
            </w:tcMar>
            <w:vAlign w:val="center"/>
          </w:tcPr>
          <w:p>
            <w:pPr>
              <w:spacing w:after="0"/>
            </w:pPr>
            <w:r/>
            <w:r>
              <w:rPr>
                <w:rFonts w:ascii="Calibri" w:hAnsi="Calibri"/>
                <w:b w:val="0"/>
                <w:color w:val="152330"/>
                <w:sz w:val="17"/>
              </w:rPr>
              <w:t>motion_only.yaml</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60</w:t>
            </w:r>
          </w:p>
        </w:tc>
        <w:tc>
          <w:tcPr>
            <w:tcW w:type="dxa" w:w="979"/>
            <w:tcMar>
              <w:top w:w="80" w:type="dxa"/>
              <w:start w:w="120" w:type="dxa"/>
              <w:bottom w:w="80" w:type="dxa"/>
              <w:end w:w="120" w:type="dxa"/>
            </w:tcMar>
            <w:vAlign w:val="center"/>
          </w:tcPr>
          <w:p>
            <w:pPr>
              <w:spacing w:after="0"/>
              <w:jc w:val="center"/>
            </w:pPr>
            <w:r/>
            <w:r>
              <w:rPr>
                <w:rFonts w:ascii="Calibri" w:hAnsi="Calibri"/>
                <w:b w:val="0"/>
                <w:color w:val="152330"/>
                <w:sz w:val="17"/>
              </w:rPr>
              <w:t>126</w:t>
            </w:r>
          </w:p>
        </w:tc>
        <w:tc>
          <w:tcPr>
            <w:tcW w:type="dxa" w:w="922"/>
            <w:tcMar>
              <w:top w:w="80" w:type="dxa"/>
              <w:start w:w="120" w:type="dxa"/>
              <w:bottom w:w="80" w:type="dxa"/>
              <w:end w:w="120" w:type="dxa"/>
            </w:tcMar>
            <w:vAlign w:val="center"/>
          </w:tcPr>
          <w:p>
            <w:pPr>
              <w:spacing w:after="0"/>
              <w:jc w:val="center"/>
            </w:pPr>
            <w:r/>
            <w:r>
              <w:rPr>
                <w:rFonts w:ascii="Calibri" w:hAnsi="Calibri"/>
                <w:b w:val="0"/>
                <w:color w:val="152330"/>
                <w:sz w:val="17"/>
              </w:rPr>
              <w:t>1</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128</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24</w:t>
            </w:r>
          </w:p>
        </w:tc>
        <w:tc>
          <w:tcPr>
            <w:tcW w:type="dxa" w:w="720"/>
            <w:tcMar>
              <w:top w:w="80" w:type="dxa"/>
              <w:start w:w="120" w:type="dxa"/>
              <w:bottom w:w="80" w:type="dxa"/>
              <w:end w:w="120" w:type="dxa"/>
            </w:tcMar>
            <w:vAlign w:val="center"/>
          </w:tcPr>
          <w:p>
            <w:pPr>
              <w:spacing w:after="0"/>
              <w:jc w:val="center"/>
            </w:pPr>
            <w:r/>
            <w:r>
              <w:rPr>
                <w:rFonts w:ascii="Calibri" w:hAnsi="Calibri"/>
                <w:b w:val="0"/>
                <w:color w:val="152330"/>
                <w:sz w:val="17"/>
              </w:rPr>
              <w:t>2</w:t>
            </w:r>
          </w:p>
        </w:tc>
        <w:tc>
          <w:tcPr>
            <w:tcW w:type="dxa" w:w="1037"/>
            <w:tcMar>
              <w:top w:w="80" w:type="dxa"/>
              <w:start w:w="120" w:type="dxa"/>
              <w:bottom w:w="80" w:type="dxa"/>
              <w:end w:w="120" w:type="dxa"/>
            </w:tcMar>
            <w:vAlign w:val="center"/>
          </w:tcPr>
          <w:p>
            <w:pPr>
              <w:spacing w:after="0"/>
              <w:jc w:val="center"/>
            </w:pPr>
            <w:r/>
            <w:r>
              <w:rPr>
                <w:rFonts w:ascii="Calibri" w:hAnsi="Calibri"/>
                <w:b w:val="0"/>
                <w:color w:val="152330"/>
                <w:sz w:val="17"/>
              </w:rPr>
              <w:t>0.0</w:t>
            </w:r>
          </w:p>
        </w:tc>
      </w:tr>
      <w:tr>
        <w:tc>
          <w:tcPr>
            <w:tcW w:type="dxa" w:w="2477"/>
            <w:tcMar>
              <w:top w:w="80" w:type="dxa"/>
              <w:start w:w="120" w:type="dxa"/>
              <w:bottom w:w="80" w:type="dxa"/>
              <w:end w:w="120" w:type="dxa"/>
            </w:tcMar>
            <w:vAlign w:val="center"/>
          </w:tcPr>
          <w:p>
            <w:pPr>
              <w:spacing w:after="0"/>
            </w:pPr>
            <w:r/>
            <w:r>
              <w:rPr>
                <w:rFonts w:ascii="Calibri" w:hAnsi="Calibri"/>
                <w:b w:val="0"/>
                <w:color w:val="152330"/>
                <w:sz w:val="17"/>
              </w:rPr>
              <w:t>small_test.yaml</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60</w:t>
            </w:r>
          </w:p>
        </w:tc>
        <w:tc>
          <w:tcPr>
            <w:tcW w:type="dxa" w:w="979"/>
            <w:tcMar>
              <w:top w:w="80" w:type="dxa"/>
              <w:start w:w="120" w:type="dxa"/>
              <w:bottom w:w="80" w:type="dxa"/>
              <w:end w:w="120" w:type="dxa"/>
            </w:tcMar>
            <w:vAlign w:val="center"/>
          </w:tcPr>
          <w:p>
            <w:pPr>
              <w:spacing w:after="0"/>
              <w:jc w:val="center"/>
            </w:pPr>
            <w:r/>
            <w:r>
              <w:rPr>
                <w:rFonts w:ascii="Calibri" w:hAnsi="Calibri"/>
                <w:b w:val="0"/>
                <w:color w:val="152330"/>
                <w:sz w:val="17"/>
              </w:rPr>
              <w:t>126</w:t>
            </w:r>
          </w:p>
        </w:tc>
        <w:tc>
          <w:tcPr>
            <w:tcW w:type="dxa" w:w="922"/>
            <w:tcMar>
              <w:top w:w="80" w:type="dxa"/>
              <w:start w:w="120" w:type="dxa"/>
              <w:bottom w:w="80" w:type="dxa"/>
              <w:end w:w="120" w:type="dxa"/>
            </w:tcMar>
            <w:vAlign w:val="center"/>
          </w:tcPr>
          <w:p>
            <w:pPr>
              <w:spacing w:after="0"/>
              <w:jc w:val="center"/>
            </w:pPr>
            <w:r/>
            <w:r>
              <w:rPr>
                <w:rFonts w:ascii="Calibri" w:hAnsi="Calibri"/>
                <w:b w:val="0"/>
                <w:color w:val="152330"/>
                <w:sz w:val="17"/>
              </w:rPr>
              <w:t>1</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64</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16</w:t>
            </w:r>
          </w:p>
        </w:tc>
        <w:tc>
          <w:tcPr>
            <w:tcW w:type="dxa" w:w="720"/>
            <w:tcMar>
              <w:top w:w="80" w:type="dxa"/>
              <w:start w:w="120" w:type="dxa"/>
              <w:bottom w:w="80" w:type="dxa"/>
              <w:end w:w="120" w:type="dxa"/>
            </w:tcMar>
            <w:vAlign w:val="center"/>
          </w:tcPr>
          <w:p>
            <w:pPr>
              <w:spacing w:after="0"/>
              <w:jc w:val="center"/>
            </w:pPr>
            <w:r/>
            <w:r>
              <w:rPr>
                <w:rFonts w:ascii="Calibri" w:hAnsi="Calibri"/>
                <w:b w:val="0"/>
                <w:color w:val="152330"/>
                <w:sz w:val="17"/>
              </w:rPr>
              <w:t>1</w:t>
            </w:r>
          </w:p>
        </w:tc>
        <w:tc>
          <w:tcPr>
            <w:tcW w:type="dxa" w:w="1037"/>
            <w:tcMar>
              <w:top w:w="80" w:type="dxa"/>
              <w:start w:w="120" w:type="dxa"/>
              <w:bottom w:w="80" w:type="dxa"/>
              <w:end w:w="120" w:type="dxa"/>
            </w:tcMar>
            <w:vAlign w:val="center"/>
          </w:tcPr>
          <w:p>
            <w:pPr>
              <w:spacing w:after="0"/>
              <w:jc w:val="center"/>
            </w:pPr>
            <w:r/>
            <w:r>
              <w:rPr>
                <w:rFonts w:ascii="Calibri" w:hAnsi="Calibri"/>
                <w:b w:val="0"/>
                <w:color w:val="152330"/>
                <w:sz w:val="17"/>
              </w:rPr>
              <w:t>0.0</w:t>
            </w:r>
          </w:p>
        </w:tc>
      </w:tr>
      <w:tr>
        <w:tc>
          <w:tcPr>
            <w:tcW w:type="dxa" w:w="2477"/>
            <w:tcMar>
              <w:top w:w="80" w:type="dxa"/>
              <w:start w:w="120" w:type="dxa"/>
              <w:bottom w:w="80" w:type="dxa"/>
              <w:end w:w="120" w:type="dxa"/>
            </w:tcMar>
            <w:vAlign w:val="center"/>
          </w:tcPr>
          <w:p>
            <w:pPr>
              <w:spacing w:after="0"/>
            </w:pPr>
            <w:r/>
            <w:r>
              <w:rPr>
                <w:rFonts w:ascii="Calibri" w:hAnsi="Calibri"/>
                <w:b w:val="0"/>
                <w:color w:val="152330"/>
                <w:sz w:val="17"/>
              </w:rPr>
              <w:t>small_test_seq15.yaml</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15</w:t>
            </w:r>
          </w:p>
        </w:tc>
        <w:tc>
          <w:tcPr>
            <w:tcW w:type="dxa" w:w="979"/>
            <w:tcMar>
              <w:top w:w="80" w:type="dxa"/>
              <w:start w:w="120" w:type="dxa"/>
              <w:bottom w:w="80" w:type="dxa"/>
              <w:end w:w="120" w:type="dxa"/>
            </w:tcMar>
            <w:vAlign w:val="center"/>
          </w:tcPr>
          <w:p>
            <w:pPr>
              <w:spacing w:after="0"/>
              <w:jc w:val="center"/>
            </w:pPr>
            <w:r/>
            <w:r>
              <w:rPr>
                <w:rFonts w:ascii="Calibri" w:hAnsi="Calibri"/>
                <w:b w:val="0"/>
                <w:color w:val="152330"/>
                <w:sz w:val="17"/>
              </w:rPr>
              <w:t>126</w:t>
            </w:r>
          </w:p>
        </w:tc>
        <w:tc>
          <w:tcPr>
            <w:tcW w:type="dxa" w:w="922"/>
            <w:tcMar>
              <w:top w:w="80" w:type="dxa"/>
              <w:start w:w="120" w:type="dxa"/>
              <w:bottom w:w="80" w:type="dxa"/>
              <w:end w:w="120" w:type="dxa"/>
            </w:tcMar>
            <w:vAlign w:val="center"/>
          </w:tcPr>
          <w:p>
            <w:pPr>
              <w:spacing w:after="0"/>
              <w:jc w:val="center"/>
            </w:pPr>
            <w:r/>
            <w:r>
              <w:rPr>
                <w:rFonts w:ascii="Calibri" w:hAnsi="Calibri"/>
                <w:b w:val="0"/>
                <w:color w:val="152330"/>
                <w:sz w:val="17"/>
              </w:rPr>
              <w:t>1</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64</w:t>
            </w:r>
          </w:p>
        </w:tc>
        <w:tc>
          <w:tcPr>
            <w:tcW w:type="dxa" w:w="835"/>
            <w:tcMar>
              <w:top w:w="80" w:type="dxa"/>
              <w:start w:w="120" w:type="dxa"/>
              <w:bottom w:w="80" w:type="dxa"/>
              <w:end w:w="120" w:type="dxa"/>
            </w:tcMar>
            <w:vAlign w:val="center"/>
          </w:tcPr>
          <w:p>
            <w:pPr>
              <w:spacing w:after="0"/>
              <w:jc w:val="center"/>
            </w:pPr>
            <w:r/>
            <w:r>
              <w:rPr>
                <w:rFonts w:ascii="Calibri" w:hAnsi="Calibri"/>
                <w:b w:val="0"/>
                <w:color w:val="152330"/>
                <w:sz w:val="17"/>
              </w:rPr>
              <w:t>16</w:t>
            </w:r>
          </w:p>
        </w:tc>
        <w:tc>
          <w:tcPr>
            <w:tcW w:type="dxa" w:w="720"/>
            <w:tcMar>
              <w:top w:w="80" w:type="dxa"/>
              <w:start w:w="120" w:type="dxa"/>
              <w:bottom w:w="80" w:type="dxa"/>
              <w:end w:w="120" w:type="dxa"/>
            </w:tcMar>
            <w:vAlign w:val="center"/>
          </w:tcPr>
          <w:p>
            <w:pPr>
              <w:spacing w:after="0"/>
              <w:jc w:val="center"/>
            </w:pPr>
            <w:r/>
            <w:r>
              <w:rPr>
                <w:rFonts w:ascii="Calibri" w:hAnsi="Calibri"/>
                <w:b w:val="0"/>
                <w:color w:val="152330"/>
                <w:sz w:val="17"/>
              </w:rPr>
              <w:t>1</w:t>
            </w:r>
          </w:p>
        </w:tc>
        <w:tc>
          <w:tcPr>
            <w:tcW w:type="dxa" w:w="1037"/>
            <w:tcMar>
              <w:top w:w="80" w:type="dxa"/>
              <w:start w:w="120" w:type="dxa"/>
              <w:bottom w:w="80" w:type="dxa"/>
              <w:end w:w="120" w:type="dxa"/>
            </w:tcMar>
            <w:vAlign w:val="center"/>
          </w:tcPr>
          <w:p>
            <w:pPr>
              <w:spacing w:after="0"/>
              <w:jc w:val="center"/>
            </w:pPr>
            <w:r/>
            <w:r>
              <w:rPr>
                <w:rFonts w:ascii="Calibri" w:hAnsi="Calibri"/>
                <w:b w:val="0"/>
                <w:color w:val="152330"/>
                <w:sz w:val="17"/>
              </w:rPr>
              <w:t>0.0</w:t>
            </w:r>
          </w:p>
        </w:tc>
      </w:tr>
    </w:tbl>
    <w:p/>
    <w:p>
      <w:pPr>
        <w:spacing w:after="120" w:line="300" w:lineRule="auto"/>
      </w:pPr>
      <w:r>
        <w:rPr>
          <w:rFonts w:ascii="Calibri" w:hAnsi="Calibri"/>
        </w:rPr>
        <w:t>The code contains a use_audio_guidance config field, but the active loss behavior is controlled by audio_prediction_weight and audio_quality. In the current implementation, setting audio_prediction_weight to 0.0 is the effective way to disable audio guidance.</w:t>
      </w:r>
    </w:p>
    <w:p>
      <w:pPr>
        <w:pStyle w:val="Heading1"/>
      </w:pPr>
      <w:r>
        <w:t>Implementation Notes</w:t>
      </w:r>
    </w:p>
    <w:p>
      <w:pPr>
        <w:pStyle w:val="ListBullet"/>
        <w:spacing w:after="80" w:line="300" w:lineRule="auto"/>
      </w:pPr>
      <w:r>
        <w:rPr>
          <w:rFonts w:ascii="Calibri" w:hAnsi="Calibri"/>
        </w:rPr>
        <w:t>from_latent is defined in the model but is not used by the current forward method.</w:t>
      </w:r>
    </w:p>
    <w:p>
      <w:pPr>
        <w:pStyle w:val="ListBullet"/>
        <w:spacing w:after="80" w:line="300" w:lineRule="auto"/>
      </w:pPr>
      <w:r>
        <w:rPr>
          <w:rFonts w:ascii="Calibri" w:hAnsi="Calibri"/>
        </w:rPr>
        <w:t>audio_quality_threshold appears in config files, but the shown loss code directly uses per-window audio_quality rather than thresholding it.</w:t>
      </w:r>
    </w:p>
    <w:p>
      <w:pPr>
        <w:pStyle w:val="ListBullet"/>
        <w:spacing w:after="80" w:line="300" w:lineRule="auto"/>
      </w:pPr>
      <w:r>
        <w:rPr>
          <w:rFonts w:ascii="Calibri" w:hAnsi="Calibri"/>
        </w:rPr>
        <w:t>Runtime correctness depends on keeping hand order, normalization, scale landmark, sequence length, feature dimension, and scaler identical between training and Stage 3.</w:t>
      </w:r>
    </w:p>
    <w:p>
      <w:pPr>
        <w:pStyle w:val="ListBullet"/>
        <w:spacing w:after="80" w:line="300" w:lineRule="auto"/>
      </w:pPr>
      <w:r>
        <w:rPr>
          <w:rFonts w:ascii="Calibri" w:hAnsi="Calibri"/>
        </w:rPr>
        <w:t>The architecture is practical for live camera-driven interaction because the encoder consumes motion only, even when training uses audio as additional supervision.</w:t>
      </w:r>
    </w:p>
    <w:p>
      <w:pPr>
        <w:pStyle w:val="Heading1"/>
      </w:pPr>
      <w:r>
        <w:t>Source Files Reviewed</w:t>
      </w:r>
    </w:p>
    <w:p>
      <w:pPr>
        <w:pStyle w:val="ListBullet"/>
        <w:spacing w:after="80" w:line="300" w:lineRule="auto"/>
      </w:pPr>
      <w:r>
        <w:rPr>
          <w:rFonts w:ascii="Calibri" w:hAnsi="Calibri"/>
        </w:rPr>
        <w:t>models/av_gru_autoencoder.py</w:t>
      </w:r>
    </w:p>
    <w:p>
      <w:pPr>
        <w:pStyle w:val="ListBullet"/>
        <w:spacing w:after="80" w:line="300" w:lineRule="auto"/>
      </w:pPr>
      <w:r>
        <w:rPr>
          <w:rFonts w:ascii="Calibri" w:hAnsi="Calibri"/>
        </w:rPr>
        <w:t>src/losses.py</w:t>
      </w:r>
    </w:p>
    <w:p>
      <w:pPr>
        <w:pStyle w:val="ListBullet"/>
        <w:spacing w:after="80" w:line="300" w:lineRule="auto"/>
      </w:pPr>
      <w:r>
        <w:rPr>
          <w:rFonts w:ascii="Calibri" w:hAnsi="Calibri"/>
        </w:rPr>
        <w:t>src/dataset.py</w:t>
      </w:r>
    </w:p>
    <w:p>
      <w:pPr>
        <w:pStyle w:val="ListBullet"/>
        <w:spacing w:after="80" w:line="300" w:lineRule="auto"/>
      </w:pPr>
      <w:r>
        <w:rPr>
          <w:rFonts w:ascii="Calibri" w:hAnsi="Calibri"/>
        </w:rPr>
        <w:t>build_windows.py, train.py, embed.py, cluster.py, evaluate.py, export_for_runtime.py</w:t>
      </w:r>
    </w:p>
    <w:p>
      <w:pPr>
        <w:pStyle w:val="ListBullet"/>
        <w:spacing w:after="80" w:line="300" w:lineRule="auto"/>
      </w:pPr>
      <w:r>
        <w:rPr>
          <w:rFonts w:ascii="Calibri" w:hAnsi="Calibri"/>
        </w:rPr>
        <w:t>configs/default.yaml, full_av.yaml, motion_only.yaml, small_test.yaml, small_test_seq15.yaml</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