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FAFD" w14:textId="77777777" w:rsidR="006B277B" w:rsidRDefault="006B277B" w:rsidP="006B277B">
      <w:pPr>
        <w:pBdr>
          <w:top w:val="nil"/>
          <w:left w:val="nil"/>
          <w:bottom w:val="nil"/>
          <w:right w:val="nil"/>
          <w:between w:val="nil"/>
        </w:pBdr>
        <w:spacing w:after="160" w:line="278" w:lineRule="auto"/>
        <w:jc w:val="both"/>
        <w:rPr>
          <w:color w:val="000000"/>
          <w:sz w:val="20"/>
          <w:szCs w:val="20"/>
        </w:rPr>
      </w:pPr>
      <w:r>
        <w:rPr>
          <w:i/>
          <w:color w:val="000000"/>
          <w:sz w:val="20"/>
          <w:szCs w:val="20"/>
        </w:rPr>
        <w:t>Details Regarding Data Processing:</w:t>
      </w:r>
    </w:p>
    <w:p w14:paraId="5D6BAD93" w14:textId="77777777" w:rsidR="006B277B" w:rsidRDefault="006B277B" w:rsidP="006B277B">
      <w:pPr>
        <w:pBdr>
          <w:top w:val="nil"/>
          <w:left w:val="nil"/>
          <w:bottom w:val="nil"/>
          <w:right w:val="nil"/>
          <w:between w:val="nil"/>
        </w:pBdr>
        <w:spacing w:after="160" w:line="278" w:lineRule="auto"/>
        <w:ind w:firstLine="360"/>
        <w:jc w:val="both"/>
        <w:rPr>
          <w:color w:val="000000"/>
          <w:sz w:val="20"/>
          <w:szCs w:val="20"/>
        </w:rPr>
      </w:pPr>
      <w:r>
        <w:rPr>
          <w:color w:val="000000"/>
          <w:sz w:val="20"/>
          <w:szCs w:val="20"/>
        </w:rPr>
        <w:t>All data processing was completed in R (version 4.4.1, R Core Team 2024, RStudio Team 2024) and ArcGIS Pro (version 3.1.3, Esri 2024). Shapefiles for the Latin America and Caribbean region were downloaded from the WDPA website (</w:t>
      </w:r>
      <w:hyperlink r:id="rId4">
        <w:r>
          <w:rPr>
            <w:color w:val="000000"/>
            <w:sz w:val="20"/>
            <w:szCs w:val="20"/>
            <w:u w:val="single"/>
          </w:rPr>
          <w:t>protectedplanet.net</w:t>
        </w:r>
      </w:hyperlink>
      <w:r>
        <w:rPr>
          <w:color w:val="000000"/>
          <w:sz w:val="20"/>
          <w:szCs w:val="20"/>
        </w:rPr>
        <w:t xml:space="preserve">) and consolidated using the </w:t>
      </w:r>
      <w:r>
        <w:rPr>
          <w:i/>
          <w:color w:val="000000"/>
          <w:sz w:val="20"/>
          <w:szCs w:val="20"/>
        </w:rPr>
        <w:t>merge</w:t>
      </w:r>
      <w:r>
        <w:rPr>
          <w:color w:val="000000"/>
          <w:sz w:val="20"/>
          <w:szCs w:val="20"/>
        </w:rPr>
        <w:t xml:space="preserve"> geoprocessing tool in ArcGIS Pro. Because the WDPA reports on all marine, coastal, and terrestrial protected areas, filtering to protected areas that are entirely or predominantly marine was necessary and completed using the </w:t>
      </w:r>
      <w:r>
        <w:rPr>
          <w:i/>
          <w:color w:val="000000"/>
          <w:sz w:val="20"/>
          <w:szCs w:val="20"/>
        </w:rPr>
        <w:t>export features</w:t>
      </w:r>
      <w:r>
        <w:rPr>
          <w:color w:val="000000"/>
          <w:sz w:val="20"/>
          <w:szCs w:val="20"/>
        </w:rPr>
        <w:t xml:space="preserve"> function in ArcGIS Pro. The same </w:t>
      </w:r>
      <w:r>
        <w:rPr>
          <w:i/>
          <w:color w:val="000000"/>
          <w:sz w:val="20"/>
          <w:szCs w:val="20"/>
        </w:rPr>
        <w:t>export features</w:t>
      </w:r>
      <w:r>
        <w:rPr>
          <w:color w:val="000000"/>
          <w:sz w:val="20"/>
          <w:szCs w:val="20"/>
        </w:rPr>
        <w:t xml:space="preserve"> function was then used to filter the dataset to Caribbean nations, as specified in the </w:t>
      </w:r>
      <w:r w:rsidRPr="0045020F">
        <w:rPr>
          <w:i/>
          <w:iCs/>
          <w:color w:val="000000"/>
          <w:sz w:val="20"/>
          <w:szCs w:val="20"/>
        </w:rPr>
        <w:t>Methods</w:t>
      </w:r>
      <w:r>
        <w:rPr>
          <w:color w:val="000000"/>
          <w:sz w:val="20"/>
          <w:szCs w:val="20"/>
        </w:rPr>
        <w:t xml:space="preserve"> (see </w:t>
      </w:r>
      <w:r>
        <w:rPr>
          <w:i/>
          <w:color w:val="000000"/>
          <w:sz w:val="20"/>
          <w:szCs w:val="20"/>
        </w:rPr>
        <w:t>Geographic Extent</w:t>
      </w:r>
      <w:r>
        <w:rPr>
          <w:color w:val="000000"/>
          <w:sz w:val="20"/>
          <w:szCs w:val="20"/>
        </w:rPr>
        <w:t>). MPAs were categorized into five subregions: Lucayan Archipelago, Greater Antilles, Lesser Antilles, Southern Caribbean, and Central America (Table 2). There were two cases in which a given ISO3 contained MPAs across multiple subregions: (1) BES contains MPAs in the Lesser Antilles and Southern Caribbean, and (2) COL contains MPAs in the Southern Caribbean and Central America. In both cases, the ISO3 was categorized into the subregion where most of their land territory is located: BES in the Lesser Antilles and COL in the Southern Caribbean. The WDPA also reports on MPAs of varying statuses, which refers to the legal status of an MPA: proposed, inscribed, adopted, designated, or established. The dataset was filtered to only include designated or established MPAs, ensuring MPAs included herein are at least legally and formally designated.</w:t>
      </w:r>
    </w:p>
    <w:p w14:paraId="06EECF60" w14:textId="77777777" w:rsidR="006B277B" w:rsidRDefault="006B277B" w:rsidP="006B277B">
      <w:pPr>
        <w:pBdr>
          <w:top w:val="nil"/>
          <w:left w:val="nil"/>
          <w:bottom w:val="nil"/>
          <w:right w:val="nil"/>
          <w:between w:val="nil"/>
        </w:pBdr>
        <w:spacing w:after="160" w:line="278" w:lineRule="auto"/>
        <w:ind w:firstLine="360"/>
        <w:jc w:val="both"/>
        <w:rPr>
          <w:color w:val="000000"/>
          <w:sz w:val="20"/>
          <w:szCs w:val="20"/>
        </w:rPr>
      </w:pPr>
      <w:r>
        <w:rPr>
          <w:color w:val="000000"/>
          <w:sz w:val="20"/>
          <w:szCs w:val="20"/>
        </w:rPr>
        <w:t xml:space="preserve">There were several cases in which multiple entries referenced the same WDPA ID, a numeric identifier unique to a given MPA. In all cases, the multiple entries represented individual zones within an individual MPA. In total, there were 59 rows corresponding to nine MPAs. As a result, these entries were aggregated to ensure that every unique MPA was represented by a single entry. However, there were several cases in which an individual MPA was represented by multiple WDPA IDs. This most commonly occurred when an MPA was given an additional designation, such as a national MPA being additionally designated as a  Ramsar Site, Wetland of International Importance, UNESCO-MAB Biosphere Reserve, or Specially Protected Area (Cartagena Convention). In these cases, the several entries, although referencing the same area, were included to acknowledge their multiple unique designations. Analyses of areal extents were performed in ArcGIS Pro, following a </w:t>
      </w:r>
      <w:r>
        <w:rPr>
          <w:i/>
          <w:color w:val="000000"/>
          <w:sz w:val="20"/>
          <w:szCs w:val="20"/>
        </w:rPr>
        <w:t>dissolve</w:t>
      </w:r>
      <w:r>
        <w:rPr>
          <w:color w:val="000000"/>
          <w:sz w:val="20"/>
          <w:szCs w:val="20"/>
        </w:rPr>
        <w:t xml:space="preserve"> operation, to ensure that cases of multiple designations or, more generally, overlapping MPAs, did not artificially inflate our areal extent results. </w:t>
      </w:r>
    </w:p>
    <w:p w14:paraId="129649BA" w14:textId="77777777" w:rsidR="006B277B" w:rsidRDefault="006B277B" w:rsidP="006B277B">
      <w:pPr>
        <w:pBdr>
          <w:top w:val="nil"/>
          <w:left w:val="nil"/>
          <w:bottom w:val="nil"/>
          <w:right w:val="nil"/>
          <w:between w:val="nil"/>
        </w:pBdr>
        <w:spacing w:after="160" w:line="278" w:lineRule="auto"/>
        <w:ind w:firstLine="360"/>
        <w:jc w:val="both"/>
        <w:rPr>
          <w:color w:val="000000"/>
          <w:sz w:val="20"/>
          <w:szCs w:val="20"/>
        </w:rPr>
      </w:pPr>
      <w:r>
        <w:rPr>
          <w:color w:val="000000"/>
          <w:sz w:val="20"/>
          <w:szCs w:val="20"/>
        </w:rPr>
        <w:t xml:space="preserve">The WDPA database is provided in a geographic coordinate system (WGS84), which does not account for the Earth's three-dimensional ellipsoidal shape and therefore requires conversion to a projected coordinate system to accurately calculate area. The Mollweide projection (an equal area projection) was selected here, and applied in ArcGIS Pro. Because coastal MPAs span marine and terrestrial areas, the </w:t>
      </w:r>
      <w:r>
        <w:rPr>
          <w:i/>
          <w:color w:val="000000"/>
          <w:sz w:val="20"/>
          <w:szCs w:val="20"/>
        </w:rPr>
        <w:t>clip</w:t>
      </w:r>
      <w:r>
        <w:rPr>
          <w:color w:val="000000"/>
          <w:sz w:val="20"/>
          <w:szCs w:val="20"/>
        </w:rPr>
        <w:t xml:space="preserve"> function was applied to a high-resolution Caribbean coastline layer to ensure that calculations of areal extents were restricted to the marine environment. The total areal extent of MPAs was calculated at the national level, but the </w:t>
      </w:r>
      <w:r>
        <w:rPr>
          <w:i/>
          <w:color w:val="000000"/>
          <w:sz w:val="20"/>
          <w:szCs w:val="20"/>
        </w:rPr>
        <w:t>dissolve</w:t>
      </w:r>
      <w:r>
        <w:rPr>
          <w:color w:val="000000"/>
          <w:sz w:val="20"/>
          <w:szCs w:val="20"/>
        </w:rPr>
        <w:t xml:space="preserve"> function was first applied to the ISO3 variable to prevent double counting by combining overlapping features (as referenced above). All other calculations of areal extent, including regional and subregional sums were calculated from these national values. An examination of the areal extent of no-take areas (NTA) was also pursued here. The WDPA allows for the reporting of the size of an NTA within a multiple-use MPA, but it does not offer a shapefile specifically for NTAs. As a result, for partly no-take MPAs, analysis relied entirely on the WDPA for the availability of data on the sizes of NTAs. Areal extents of MPAs were examined relative to total area available for protection, defined here as the combined area of a given nation’s territorial sea and exclusive economic zone, which collectively generally extend up to 200 nautical miles from a nation’s baseline. For simplicity, these zones are collectively referred to as a nation’s maritime territory (MT), within which the nation exercises varying degrees of sovereignty and jurisdiction. Regional and subregional MTs were calculated by summing the MTs of their constituent nations. International marine areas, including areas of joint jurisdictions, were not included.</w:t>
      </w:r>
    </w:p>
    <w:p w14:paraId="2A9732B9" w14:textId="77777777" w:rsidR="006B277B" w:rsidRDefault="006B277B" w:rsidP="006B277B">
      <w:pPr>
        <w:pBdr>
          <w:top w:val="nil"/>
          <w:left w:val="nil"/>
          <w:bottom w:val="nil"/>
          <w:right w:val="nil"/>
          <w:between w:val="nil"/>
        </w:pBdr>
        <w:spacing w:after="160" w:line="278" w:lineRule="auto"/>
        <w:ind w:firstLine="360"/>
        <w:jc w:val="both"/>
        <w:rPr>
          <w:color w:val="000000"/>
          <w:sz w:val="20"/>
          <w:szCs w:val="20"/>
        </w:rPr>
      </w:pPr>
      <w:r>
        <w:rPr>
          <w:color w:val="000000"/>
          <w:sz w:val="20"/>
          <w:szCs w:val="20"/>
        </w:rPr>
        <w:t xml:space="preserve">The resulting data frames were exported from ArcGIS Pro as CSV files for use in R. The only additional processing step taken in R was to </w:t>
      </w:r>
      <w:r>
        <w:rPr>
          <w:i/>
          <w:color w:val="000000"/>
          <w:sz w:val="20"/>
          <w:szCs w:val="20"/>
        </w:rPr>
        <w:t>handle</w:t>
      </w:r>
      <w:r>
        <w:rPr>
          <w:color w:val="000000"/>
          <w:sz w:val="20"/>
          <w:szCs w:val="20"/>
        </w:rPr>
        <w:t xml:space="preserve"> a single international MPA (Agoa: WDPA ID 555587040). The Agoa MPA encompasses the MTs of all four French territories in the Caribbean: Guadeloupe, St. Barthelemy, St. Martin, and </w:t>
      </w:r>
      <w:r>
        <w:rPr>
          <w:color w:val="000000"/>
          <w:sz w:val="20"/>
          <w:szCs w:val="20"/>
        </w:rPr>
        <w:lastRenderedPageBreak/>
        <w:t xml:space="preserve">Martinique. To facilitate national counts, areal extents, and visualizations, the Agoa MPA was split into four entries, one for each territory. The areal extent for each entry was set to the MT of the given French territory. Adjustments were made to avoid artificially inflating count results for the region and the corresponding Lesser Antilles subregion. </w:t>
      </w:r>
    </w:p>
    <w:p w14:paraId="0581A7FF" w14:textId="66CC2875" w:rsidR="006B277B" w:rsidRPr="00572283" w:rsidRDefault="006B277B" w:rsidP="006B277B">
      <w:pPr>
        <w:pBdr>
          <w:top w:val="nil"/>
          <w:left w:val="nil"/>
          <w:bottom w:val="nil"/>
          <w:right w:val="nil"/>
          <w:between w:val="nil"/>
        </w:pBdr>
        <w:spacing w:after="160" w:line="278" w:lineRule="auto"/>
        <w:ind w:firstLine="360"/>
        <w:jc w:val="both"/>
        <w:rPr>
          <w:color w:val="000000"/>
          <w:sz w:val="20"/>
          <w:szCs w:val="20"/>
        </w:rPr>
      </w:pPr>
      <w:r>
        <w:rPr>
          <w:color w:val="000000"/>
          <w:sz w:val="20"/>
          <w:szCs w:val="20"/>
        </w:rPr>
        <w:t xml:space="preserve">Several R packages were used to facilitate data processing, analysis, and visualization, including: </w:t>
      </w:r>
      <w:r>
        <w:rPr>
          <w:i/>
          <w:color w:val="000000"/>
          <w:sz w:val="20"/>
          <w:szCs w:val="20"/>
        </w:rPr>
        <w:t>dplyr</w:t>
      </w:r>
      <w:r>
        <w:rPr>
          <w:color w:val="000000"/>
          <w:sz w:val="20"/>
          <w:szCs w:val="20"/>
        </w:rPr>
        <w:t xml:space="preserve"> (Wickham et al. 2023), </w:t>
      </w:r>
      <w:r>
        <w:rPr>
          <w:i/>
          <w:color w:val="000000"/>
          <w:sz w:val="20"/>
          <w:szCs w:val="20"/>
        </w:rPr>
        <w:t>ggplot2</w:t>
      </w:r>
      <w:r>
        <w:rPr>
          <w:color w:val="000000"/>
          <w:sz w:val="20"/>
          <w:szCs w:val="20"/>
        </w:rPr>
        <w:t xml:space="preserve"> (Wickham 2016), </w:t>
      </w:r>
      <w:r>
        <w:rPr>
          <w:i/>
          <w:color w:val="000000"/>
          <w:sz w:val="20"/>
          <w:szCs w:val="20"/>
        </w:rPr>
        <w:t>lubridate</w:t>
      </w:r>
      <w:r>
        <w:rPr>
          <w:color w:val="000000"/>
          <w:sz w:val="20"/>
          <w:szCs w:val="20"/>
        </w:rPr>
        <w:t xml:space="preserve"> (Grolemund and Wickham 2011), </w:t>
      </w:r>
      <w:r>
        <w:rPr>
          <w:i/>
          <w:color w:val="000000"/>
          <w:sz w:val="20"/>
          <w:szCs w:val="20"/>
        </w:rPr>
        <w:t>RColorBrewer</w:t>
      </w:r>
      <w:r>
        <w:rPr>
          <w:color w:val="000000"/>
          <w:sz w:val="20"/>
          <w:szCs w:val="20"/>
        </w:rPr>
        <w:t xml:space="preserve"> (Neuwirth 2022), </w:t>
      </w:r>
      <w:r>
        <w:rPr>
          <w:i/>
          <w:color w:val="000000"/>
          <w:sz w:val="20"/>
          <w:szCs w:val="20"/>
        </w:rPr>
        <w:t>sf</w:t>
      </w:r>
      <w:r>
        <w:rPr>
          <w:color w:val="000000"/>
          <w:sz w:val="20"/>
          <w:szCs w:val="20"/>
        </w:rPr>
        <w:t xml:space="preserve"> (Pebesma and Bivand 2023), and </w:t>
      </w:r>
      <w:r>
        <w:rPr>
          <w:i/>
          <w:color w:val="000000"/>
          <w:sz w:val="20"/>
          <w:szCs w:val="20"/>
        </w:rPr>
        <w:t>writexl</w:t>
      </w:r>
      <w:r>
        <w:rPr>
          <w:color w:val="000000"/>
          <w:sz w:val="20"/>
          <w:szCs w:val="20"/>
        </w:rPr>
        <w:t xml:space="preserve"> (Ooms 2024).</w:t>
      </w:r>
    </w:p>
    <w:p w14:paraId="1EE7F083" w14:textId="77777777" w:rsidR="00200B3A" w:rsidRDefault="00200B3A"/>
    <w:sectPr w:rsidR="00200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77B"/>
    <w:rsid w:val="00001818"/>
    <w:rsid w:val="00200B3A"/>
    <w:rsid w:val="006B277B"/>
    <w:rsid w:val="00D41E82"/>
    <w:rsid w:val="00DC1691"/>
    <w:rsid w:val="00F55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643C"/>
  <w15:chartTrackingRefBased/>
  <w15:docId w15:val="{2DC24237-8225-4637-B08E-6FF8D570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77B"/>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B277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B277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6B277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B277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6B277B"/>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6B277B"/>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6B277B"/>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6B277B"/>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6B277B"/>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77B"/>
    <w:rPr>
      <w:rFonts w:eastAsiaTheme="majorEastAsia" w:cstheme="majorBidi"/>
      <w:color w:val="272727" w:themeColor="text1" w:themeTint="D8"/>
    </w:rPr>
  </w:style>
  <w:style w:type="paragraph" w:styleId="Title">
    <w:name w:val="Title"/>
    <w:basedOn w:val="Normal"/>
    <w:next w:val="Normal"/>
    <w:link w:val="TitleChar"/>
    <w:uiPriority w:val="10"/>
    <w:qFormat/>
    <w:rsid w:val="006B277B"/>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B2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77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B2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77B"/>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6B277B"/>
    <w:rPr>
      <w:i/>
      <w:iCs/>
      <w:color w:val="404040" w:themeColor="text1" w:themeTint="BF"/>
    </w:rPr>
  </w:style>
  <w:style w:type="paragraph" w:styleId="ListParagraph">
    <w:name w:val="List Paragraph"/>
    <w:basedOn w:val="Normal"/>
    <w:uiPriority w:val="34"/>
    <w:qFormat/>
    <w:rsid w:val="006B277B"/>
    <w:pPr>
      <w:spacing w:after="160"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6B277B"/>
    <w:rPr>
      <w:i/>
      <w:iCs/>
      <w:color w:val="0F4761" w:themeColor="accent1" w:themeShade="BF"/>
    </w:rPr>
  </w:style>
  <w:style w:type="paragraph" w:styleId="IntenseQuote">
    <w:name w:val="Intense Quote"/>
    <w:basedOn w:val="Normal"/>
    <w:next w:val="Normal"/>
    <w:link w:val="IntenseQuoteChar"/>
    <w:uiPriority w:val="30"/>
    <w:qFormat/>
    <w:rsid w:val="006B277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6B277B"/>
    <w:rPr>
      <w:i/>
      <w:iCs/>
      <w:color w:val="0F4761" w:themeColor="accent1" w:themeShade="BF"/>
    </w:rPr>
  </w:style>
  <w:style w:type="character" w:styleId="IntenseReference">
    <w:name w:val="Intense Reference"/>
    <w:basedOn w:val="DefaultParagraphFont"/>
    <w:uiPriority w:val="32"/>
    <w:qFormat/>
    <w:rsid w:val="006B2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wcc-my.sharepoint.com/personal/mathias_cramer_myfwc_com/Documents/Documents/WDPA/protectedplane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Cramer, Mathias</dc:creator>
  <cp:keywords/>
  <dc:description/>
  <cp:lastModifiedBy>Cramer, Mathias</cp:lastModifiedBy>
  <cp:revision>2</cp:revision>
  <dcterms:created xsi:type="dcterms:W3CDTF">2025-09-15T14:46:00Z</dcterms:created>
  <dcterms:modified xsi:type="dcterms:W3CDTF">2026-10-07T20:51:00Z</dcterms:modified>
</cp:coreProperties>
</file>