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State               Time               Probability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0              12.0000                 0.00%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1             108.2129                 0.01%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2           69461.2140                 4.37%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3          561878.9916                35.38%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4          956747.7946                60.24%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losses: 359955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Queue:   F2 (G/G/1/3)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Service: 4.0 ... 8.0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State               Time               Probability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0          577757.1638                36.38%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1          643919.7542                40.54%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2          300735.5875                18.94%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3           65795.7077                 4.14%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losses: 4076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Queue:   F3 (G/G/3/5)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Service: 4.0 ... 10.0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State               Time               Probability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0          436273.9194                27.47%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1          624220.1551                39.30%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2          375047.5199                23.61%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3          123398.2916                 7.77%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4           25512.8097                 1.61%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5            3755.5174                 0.24%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losses: 201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Queue:   F4 (G/G/1/3)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Service: 2.0 ... 3.0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State               Time               Probability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0          438626.9816                27.62%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1          640412.1101                40.32%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2          406857.1493                25.62%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3          102311.9720                 6.44%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losses: 18149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Queue:   F5 (G/G/2/2)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Service: 4.0 ... 12.0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State               Time               Probability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0          366275.3066                23.06%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1          721677.6646                45.44%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2          500255.2420                31.50%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losses: 61196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