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94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260"/>
              <w:left w:type="dxa" w:w="300"/>
              <w:bottom w:type="dxa" w:w="2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TherapyBill AI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AI-Powered Billing for Behavioral Health</w:t>
            </w:r>
          </w:p>
        </w:tc>
        <w:tc>
          <w:tcPr>
            <w:tcW w:type="dxa" w:w="394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260"/>
              <w:left w:type="dxa" w:w="200"/>
              <w:bottom w:type="dxa" w:w="260"/>
              <w:right w:type="dxa" w:w="3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app.therapybillai.com</w:t>
            </w:r>
          </w:p>
        </w:tc>
      </w:tr>
    </w:tbl>
    <w:p>
      <w:pPr>
        <w:spacing w:after="60" w:before="3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The first practice management platform with a native Claude Desktop integration.</w:t>
      </w:r>
    </w:p>
    <w:p>
      <w:pPr>
        <w:spacing w:after="240"/>
        <w:jc w:val="center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Manage your entire billing workflow through natural conversation. No portals. No clicking. Just ask.</w:t>
      </w:r>
    </w:p>
    <w:p>
      <w:pPr>
        <w:pBdr>
          <w:bottom w:val="single" w:color="D5E8D4" w:sz="4"/>
        </w:pBdr>
        <w:spacing w:after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FEATURED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Claude Desktop Integration (MCP)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TherapyBill connects directly to Claude Desktop via the Model Context Protocol. Your AI assistant has real-time access to your practice data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with full HIPAA audit logging on every interaction.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 patient eligibility and coverage in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Review, submit, and track claims by asking in plain English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Generate SOAP notes and get CPT code suggestions from session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Predict denial risk before you submit and get fix recommendations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Draft appeal letters with AI-estimated success probability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340"/>
        <w:gridCol w:w="5000"/>
      </w:tblGrid>
      <w:tr>
        <w:tc>
          <w:tcPr>
            <w:tcW w:type="dxa" w:w="5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AI-Powered Denial Prevention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Predicts denial risk before submission with actionable fixes. Reviews billing codes against payer-specific rules. Auto-generates appeal letters with success probability scores.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Real Clearinghouse Integration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Direct electronic eligibility (270/271), claims submission (837P), and status checks (276/277) via Stedi. Real EDI transactions, not manual entry.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AI Clinical Documentation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Generate complete SOAP notes with recommended CPT codes from session details. AI suggests — the therapist always makes the final coding decision.</w:t>
            </w:r>
          </w:p>
        </w:tc>
        <w:tc>
          <w:tcPr>
            <w:tcW w:type="dxa" w:w="34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HIPAA-Compliant by Design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AES-256-GCM encryption for all PHI at rest. MFA enforcement. Full audit trail with tamper detection. Signed AWS BAA. Every AI interaction is logged.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Built for Behavioral Health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Purpose-built for therapy practices, not a generic billing tool. Supports imports from SimplePractice, TherapyNotes, Jane App, WebPT, and more.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Patient Portal &amp; Payments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Integrated patient portal with secure messaging. Stripe-powered payment processing with PCI-compliant tokenization. Appointment reminders via SMS and email.</w:t>
            </w:r>
          </w:p>
        </w:tc>
      </w:tr>
    </w:tbl>
    <w:p>
      <w:pPr>
        <w:pBdr>
          <w:bottom w:val="single" w:color="D5E8D4" w:sz="4"/>
        </w:pBdr>
        <w:spacing w:after="200" w:before="220"/>
      </w:pP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How It Works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Connect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Add TherapyBill to Claude Desktop with a one-time config. Takes under 2 minutes.</w:t>
            </w:r>
          </w:p>
        </w:tc>
        <w:tc>
          <w:tcPr>
            <w:tcW w:type="dxa" w:w="3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Ask Claude anything about your practice — billing, claims, eligibility, documentation.</w:t>
            </w:r>
          </w:p>
        </w:tc>
        <w:tc>
          <w:tcPr>
            <w:tcW w:type="dxa" w:w="3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Claude handles the rest. Every action is HIPAA-audited and encrypted.</w:t>
            </w:r>
          </w:p>
        </w:tc>
      </w:tr>
    </w:tbl>
    <w:p>
      <w:pPr>
        <w:spacing w:before="2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94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Ready to simplify your billing?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Visit app.therapybillai.com to get started.</w:t>
            </w:r>
          </w:p>
        </w:tc>
        <w:tc>
          <w:tcPr>
            <w:tcW w:type="dxa" w:w="394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180"/>
              <w:left w:type="dxa" w:w="200"/>
              <w:bottom w:type="dxa" w:w="180"/>
              <w:right w:type="dxa" w:w="3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HIPAA Compliant  |  AWS BAA  |  SOC 2</w:t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5A5A6"/>
          <w:sz w:val="14"/>
          <w:szCs w:val="14"/>
        </w:rPr>
        <w:t xml:space="preserve">TherapyBill AI assists with billing accuracy by suggesting codes based on clinical documentation. All coding decisions must be reviewed and approved by the treating provider.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20" w:hanging="280"/>
      </w:pPr>
      <w:rPr>
        <w:rFonts w:ascii="Arial" w:cs="Arial" w:eastAsia="Arial" w:hAnsi="Arial"/>
        <w:b/>
        <w:bCs/>
        <w:color w:val="27AE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2026-04-08T12:17:09.054Z</dcterms:created>
  <dcterms:modified xsi:type="dcterms:W3CDTF">2026-04-08T12:17:09.054Z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