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C0F01" w14:textId="77777777" w:rsidR="00860203" w:rsidRDefault="00860203" w:rsidP="0060412B">
      <w:pPr>
        <w:spacing w:after="0" w:line="240" w:lineRule="auto"/>
        <w:rPr>
          <w:rFonts w:ascii="Times New Roman" w:hAnsi="Times New Roman" w:cs="Times New Roman"/>
          <w:b/>
          <w:bCs/>
          <w:kern w:val="0"/>
          <w14:ligatures w14:val="none"/>
        </w:rPr>
      </w:pPr>
    </w:p>
    <w:p w14:paraId="7995D04E" w14:textId="77777777" w:rsidR="00860203" w:rsidRDefault="00860203" w:rsidP="0060412B">
      <w:pPr>
        <w:spacing w:after="0" w:line="240" w:lineRule="auto"/>
        <w:rPr>
          <w:rFonts w:ascii="Times New Roman" w:hAnsi="Times New Roman" w:cs="Times New Roman"/>
          <w:b/>
          <w:bCs/>
          <w:kern w:val="0"/>
          <w14:ligatures w14:val="none"/>
        </w:rPr>
      </w:pPr>
    </w:p>
    <w:p w14:paraId="5F4FB588" w14:textId="77777777" w:rsidR="00860203" w:rsidRDefault="00860203" w:rsidP="0060412B">
      <w:pPr>
        <w:spacing w:after="0" w:line="240" w:lineRule="auto"/>
        <w:rPr>
          <w:rFonts w:ascii="Times New Roman" w:hAnsi="Times New Roman" w:cs="Times New Roman"/>
          <w:b/>
          <w:bCs/>
          <w:kern w:val="0"/>
          <w14:ligatures w14:val="none"/>
        </w:rPr>
      </w:pPr>
    </w:p>
    <w:p w14:paraId="2170C869" w14:textId="77777777" w:rsidR="00860203" w:rsidRDefault="00860203" w:rsidP="0060412B">
      <w:pPr>
        <w:spacing w:after="0" w:line="240" w:lineRule="auto"/>
        <w:rPr>
          <w:rFonts w:ascii="Times New Roman" w:hAnsi="Times New Roman" w:cs="Times New Roman"/>
          <w:b/>
          <w:bCs/>
          <w:kern w:val="0"/>
          <w14:ligatures w14:val="none"/>
        </w:rPr>
      </w:pPr>
    </w:p>
    <w:p w14:paraId="6BDFCCA5" w14:textId="77777777" w:rsidR="00860203" w:rsidRDefault="00860203" w:rsidP="0060412B">
      <w:pPr>
        <w:spacing w:after="0" w:line="240" w:lineRule="auto"/>
        <w:rPr>
          <w:rFonts w:ascii="Times New Roman" w:hAnsi="Times New Roman" w:cs="Times New Roman"/>
          <w:b/>
          <w:bCs/>
          <w:kern w:val="0"/>
          <w14:ligatures w14:val="none"/>
        </w:rPr>
      </w:pPr>
    </w:p>
    <w:p w14:paraId="581B96B3" w14:textId="77777777" w:rsidR="00B222D6" w:rsidRDefault="00B222D6" w:rsidP="0060412B">
      <w:pPr>
        <w:spacing w:after="0" w:line="240" w:lineRule="auto"/>
        <w:rPr>
          <w:rFonts w:ascii="Times New Roman" w:hAnsi="Times New Roman" w:cs="Times New Roman"/>
          <w:b/>
          <w:bCs/>
          <w:kern w:val="0"/>
          <w14:ligatures w14:val="none"/>
        </w:rPr>
      </w:pPr>
    </w:p>
    <w:p w14:paraId="7FAC3E3B" w14:textId="77777777" w:rsidR="0054446C" w:rsidRPr="0054446C" w:rsidRDefault="0054446C" w:rsidP="00622459">
      <w:pPr>
        <w:spacing w:after="0"/>
        <w:jc w:val="center"/>
        <w:rPr>
          <w:rFonts w:ascii="Times New Roman" w:hAnsi="Times New Roman" w:cs="Times New Roman"/>
          <w:b/>
          <w:bCs/>
          <w:kern w:val="0"/>
          <w14:ligatures w14:val="none"/>
        </w:rPr>
      </w:pPr>
      <w:r w:rsidRPr="0054446C">
        <w:rPr>
          <w:rFonts w:ascii="Times New Roman" w:hAnsi="Times New Roman" w:cs="Times New Roman"/>
          <w:b/>
          <w:bCs/>
          <w:kern w:val="0"/>
          <w14:ligatures w14:val="none"/>
        </w:rPr>
        <w:t>MATHIAS EL TRIBE SUPREME COURT</w:t>
      </w:r>
    </w:p>
    <w:p w14:paraId="0DDC56BF" w14:textId="77777777" w:rsidR="0054446C" w:rsidRPr="0054446C" w:rsidRDefault="0054446C" w:rsidP="00622459">
      <w:pPr>
        <w:spacing w:after="0"/>
        <w:jc w:val="center"/>
        <w:rPr>
          <w:rFonts w:ascii="Times New Roman" w:hAnsi="Times New Roman" w:cs="Times New Roman"/>
          <w:b/>
          <w:bCs/>
          <w:kern w:val="0"/>
          <w14:ligatures w14:val="none"/>
        </w:rPr>
      </w:pPr>
      <w:r w:rsidRPr="0054446C">
        <w:rPr>
          <w:rFonts w:ascii="Times New Roman" w:hAnsi="Times New Roman" w:cs="Times New Roman"/>
          <w:b/>
          <w:bCs/>
          <w:kern w:val="0"/>
          <w14:ligatures w14:val="none"/>
        </w:rPr>
        <w:t>OFFICE OF THE CHIEF JUSTICE &amp; TRUSTEE</w:t>
      </w:r>
    </w:p>
    <w:p w14:paraId="58F893DC" w14:textId="77777777" w:rsidR="0054446C" w:rsidRPr="0054446C" w:rsidRDefault="0054446C" w:rsidP="0054446C">
      <w:pPr>
        <w:spacing w:after="0"/>
        <w:rPr>
          <w:rFonts w:ascii="Times New Roman" w:hAnsi="Times New Roman" w:cs="Times New Roman"/>
          <w:b/>
          <w:bCs/>
          <w:kern w:val="0"/>
          <w14:ligatures w14:val="none"/>
        </w:rPr>
      </w:pPr>
    </w:p>
    <w:p w14:paraId="534D3AC8" w14:textId="77777777" w:rsidR="0054446C" w:rsidRPr="0054446C" w:rsidRDefault="0054446C" w:rsidP="0054446C">
      <w:pPr>
        <w:spacing w:after="0"/>
        <w:rPr>
          <w:rFonts w:ascii="Times New Roman" w:hAnsi="Times New Roman" w:cs="Times New Roman"/>
          <w:b/>
          <w:bCs/>
          <w:kern w:val="0"/>
          <w14:ligatures w14:val="none"/>
        </w:rPr>
      </w:pPr>
      <w:r w:rsidRPr="0054446C">
        <w:rPr>
          <w:rFonts w:ascii="Times New Roman" w:hAnsi="Times New Roman" w:cs="Times New Roman"/>
          <w:b/>
          <w:bCs/>
          <w:kern w:val="0"/>
          <w14:ligatures w14:val="none"/>
        </w:rPr>
        <w:t>Case No. MET-SC-2025-007</w:t>
      </w:r>
    </w:p>
    <w:p w14:paraId="54D4FF05" w14:textId="77777777" w:rsidR="0054446C" w:rsidRPr="0054446C" w:rsidRDefault="0054446C" w:rsidP="0054446C">
      <w:pPr>
        <w:spacing w:after="0"/>
        <w:rPr>
          <w:rFonts w:ascii="Times New Roman" w:hAnsi="Times New Roman" w:cs="Times New Roman"/>
          <w:kern w:val="0"/>
          <w14:ligatures w14:val="none"/>
        </w:rPr>
      </w:pPr>
      <w:r w:rsidRPr="0054446C">
        <w:rPr>
          <w:rFonts w:ascii="Times New Roman" w:hAnsi="Times New Roman" w:cs="Times New Roman"/>
          <w:kern w:val="0"/>
          <w14:ligatures w14:val="none"/>
        </w:rPr>
        <w:t>(Non-Interference &amp; Land/People Protective Judgment)</w:t>
      </w:r>
    </w:p>
    <w:p w14:paraId="0A484008" w14:textId="77777777" w:rsidR="0054446C" w:rsidRPr="0054446C" w:rsidRDefault="0054446C" w:rsidP="0054446C">
      <w:pPr>
        <w:spacing w:after="0"/>
        <w:rPr>
          <w:rFonts w:ascii="Times New Roman" w:hAnsi="Times New Roman" w:cs="Times New Roman"/>
          <w:b/>
          <w:bCs/>
          <w:kern w:val="0"/>
          <w:sz w:val="18"/>
          <w:szCs w:val="18"/>
          <w14:ligatures w14:val="none"/>
        </w:rPr>
      </w:pPr>
    </w:p>
    <w:p w14:paraId="10CD24E3" w14:textId="77777777" w:rsidR="0054446C" w:rsidRPr="0054446C" w:rsidRDefault="0054446C" w:rsidP="0054446C">
      <w:pPr>
        <w:spacing w:after="0"/>
        <w:rPr>
          <w:rFonts w:ascii="Times New Roman" w:hAnsi="Times New Roman" w:cs="Times New Roman"/>
          <w:kern w:val="0"/>
          <w14:ligatures w14:val="none"/>
        </w:rPr>
      </w:pPr>
      <w:r w:rsidRPr="0054446C">
        <w:rPr>
          <w:rFonts w:ascii="Times New Roman" w:hAnsi="Times New Roman" w:cs="Times New Roman"/>
          <w:kern w:val="0"/>
          <w14:ligatures w14:val="none"/>
        </w:rPr>
        <w:t>IN RE: Final Non-Interference Judgment &amp; Protective Order</w:t>
      </w:r>
    </w:p>
    <w:p w14:paraId="4CAC136A" w14:textId="77777777" w:rsidR="00D35DCB" w:rsidRDefault="0054446C" w:rsidP="00D35DCB">
      <w:pPr>
        <w:spacing w:after="0"/>
        <w:rPr>
          <w:rFonts w:ascii="Times New Roman" w:hAnsi="Times New Roman" w:cs="Times New Roman"/>
          <w:kern w:val="0"/>
          <w14:ligatures w14:val="none"/>
        </w:rPr>
      </w:pPr>
      <w:r w:rsidRPr="0054446C">
        <w:rPr>
          <w:rFonts w:ascii="Times New Roman" w:hAnsi="Times New Roman" w:cs="Times New Roman"/>
          <w:kern w:val="0"/>
          <w14:ligatures w14:val="none"/>
        </w:rPr>
        <w:t>Pursuant to Treaty Authority, Tribal Constitution, International Law, and Sovereign Jurisdiction</w:t>
      </w:r>
    </w:p>
    <w:p w14:paraId="57CA7378" w14:textId="4B37FF0A" w:rsidR="00712720" w:rsidRPr="0024405D" w:rsidRDefault="00FE02BA" w:rsidP="00F063C5">
      <w:pPr>
        <w:spacing w:after="0" w:line="240" w:lineRule="auto"/>
        <w:outlineLvl w:val="1"/>
        <w:rPr>
          <w:rFonts w:ascii="Times New Roman" w:eastAsia="Times New Roman" w:hAnsi="Times New Roman" w:cs="Times New Roman"/>
          <w:b/>
          <w:bCs/>
          <w:kern w:val="0"/>
          <w:sz w:val="36"/>
          <w:szCs w:val="36"/>
          <w14:ligatures w14:val="none"/>
        </w:rPr>
      </w:pPr>
      <w:r w:rsidRPr="0070737E">
        <w:rPr>
          <w:rFonts w:ascii="Times New Roman" w:hAnsi="Times New Roman" w:cs="Times New Roman"/>
          <w:b/>
          <w:bCs/>
          <w:noProof/>
          <w:kern w:val="0"/>
          <w:sz w:val="36"/>
          <w:szCs w:val="36"/>
        </w:rPr>
        <w:drawing>
          <wp:anchor distT="0" distB="0" distL="114300" distR="114300" simplePos="0" relativeHeight="251658240" behindDoc="0" locked="0" layoutInCell="1" allowOverlap="1" wp14:anchorId="3CD0AF47" wp14:editId="3B879146">
            <wp:simplePos x="0" y="0"/>
            <wp:positionH relativeFrom="column">
              <wp:posOffset>2597785</wp:posOffset>
            </wp:positionH>
            <wp:positionV relativeFrom="paragraph">
              <wp:posOffset>114300</wp:posOffset>
            </wp:positionV>
            <wp:extent cx="1672590" cy="1672590"/>
            <wp:effectExtent l="0" t="0" r="0" b="0"/>
            <wp:wrapTopAndBottom/>
            <wp:docPr id="144650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08560" name="Picture 14465085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72590" cy="1672590"/>
                    </a:xfrm>
                    <a:prstGeom prst="rect">
                      <a:avLst/>
                    </a:prstGeom>
                  </pic:spPr>
                </pic:pic>
              </a:graphicData>
            </a:graphic>
            <wp14:sizeRelH relativeFrom="margin">
              <wp14:pctWidth>0</wp14:pctWidth>
            </wp14:sizeRelH>
            <wp14:sizeRelV relativeFrom="margin">
              <wp14:pctHeight>0</wp14:pctHeight>
            </wp14:sizeRelV>
          </wp:anchor>
        </w:drawing>
      </w:r>
      <w:r w:rsidR="00712720" w:rsidRPr="0024405D">
        <w:rPr>
          <w:rFonts w:ascii="Times New Roman" w:eastAsia="Times New Roman" w:hAnsi="Times New Roman" w:cs="Times New Roman"/>
          <w:b/>
          <w:bCs/>
          <w:kern w:val="0"/>
          <w:sz w:val="36"/>
          <w:szCs w:val="36"/>
          <w14:ligatures w14:val="none"/>
        </w:rPr>
        <w:t>SUPPLEMENTAL PROVISIONS – UTILITY &amp; TELECOMMUNICATION NON-INTERFERENCE ORDER</w:t>
      </w:r>
    </w:p>
    <w:p w14:paraId="0CBCA474" w14:textId="77777777" w:rsidR="00712720" w:rsidRPr="00403433" w:rsidRDefault="00712720" w:rsidP="00F063C5">
      <w:pPr>
        <w:spacing w:after="0" w:line="240" w:lineRule="auto"/>
        <w:rPr>
          <w:rFonts w:ascii="Times New Roman" w:hAnsi="Times New Roman" w:cs="Times New Roman"/>
          <w:kern w:val="0"/>
          <w:sz w:val="20"/>
          <w:szCs w:val="20"/>
          <w14:ligatures w14:val="none"/>
        </w:rPr>
      </w:pPr>
    </w:p>
    <w:p w14:paraId="3BFDB229" w14:textId="77777777" w:rsidR="00712720" w:rsidRPr="0024405D"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Issued under the inherent jurisdiction of the Mathias El Tribe Supreme Court, these supplemental provisions are self-executing within tribal law and further enforceable under binding federal law. They are declaratory, protective, and supplemental to the Final Non-Interference Judgment &amp; Protective Order dated August 12, 2025, and apply specifically to:</w:t>
      </w:r>
    </w:p>
    <w:p w14:paraId="0EA89555" w14:textId="77777777" w:rsidR="00712720" w:rsidRPr="00403433" w:rsidRDefault="00712720" w:rsidP="00F063C5">
      <w:pPr>
        <w:spacing w:after="0" w:line="240" w:lineRule="auto"/>
        <w:rPr>
          <w:rFonts w:ascii="Times New Roman" w:hAnsi="Times New Roman" w:cs="Times New Roman"/>
          <w:kern w:val="0"/>
          <w:sz w:val="20"/>
          <w:szCs w:val="20"/>
          <w14:ligatures w14:val="none"/>
        </w:rPr>
      </w:pPr>
    </w:p>
    <w:p w14:paraId="74758776" w14:textId="77777777" w:rsidR="00712720" w:rsidRPr="0024405D"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Pacific Gas &amp; Electric (PG&amp;E), Sunrun, Inc., T-Mobile USA, Inc., AT&amp;T Inc., and any subdivision, agent, or affiliate acting under their direction.</w:t>
      </w:r>
    </w:p>
    <w:p w14:paraId="5BDAB2CD" w14:textId="77777777" w:rsidR="00712720" w:rsidRPr="00403433" w:rsidRDefault="00712720" w:rsidP="00F063C5">
      <w:pPr>
        <w:spacing w:after="0" w:line="240" w:lineRule="auto"/>
        <w:rPr>
          <w:rFonts w:ascii="Times New Roman" w:eastAsia="Times New Roman" w:hAnsi="Times New Roman" w:cs="Times New Roman"/>
          <w:kern w:val="0"/>
          <w:sz w:val="20"/>
          <w:szCs w:val="20"/>
          <w14:ligatures w14:val="none"/>
        </w:rPr>
      </w:pPr>
    </w:p>
    <w:p w14:paraId="700A42C1" w14:textId="77777777" w:rsidR="00712720" w:rsidRPr="0024405D" w:rsidRDefault="00712720" w:rsidP="00F063C5">
      <w:pPr>
        <w:spacing w:after="0" w:line="240" w:lineRule="auto"/>
        <w:outlineLvl w:val="2"/>
        <w:rPr>
          <w:rFonts w:ascii="Times New Roman" w:hAnsi="Times New Roman" w:cs="Times New Roman"/>
          <w:b/>
          <w:bCs/>
          <w:kern w:val="0"/>
          <w:sz w:val="27"/>
          <w:szCs w:val="27"/>
          <w14:ligatures w14:val="none"/>
        </w:rPr>
      </w:pPr>
      <w:r w:rsidRPr="0024405D">
        <w:rPr>
          <w:rFonts w:ascii="Times New Roman" w:eastAsia="Times New Roman" w:hAnsi="Times New Roman" w:cs="Times New Roman"/>
          <w:b/>
          <w:bCs/>
          <w:kern w:val="0"/>
          <w:sz w:val="27"/>
          <w:szCs w:val="27"/>
          <w14:ligatures w14:val="none"/>
        </w:rPr>
        <w:t>I. Public Law 280 Limitation</w:t>
      </w:r>
    </w:p>
    <w:p w14:paraId="54AFCF9D" w14:textId="77777777" w:rsidR="00712720" w:rsidRPr="00403433" w:rsidRDefault="00712720" w:rsidP="00F063C5">
      <w:pPr>
        <w:spacing w:after="0" w:line="240" w:lineRule="auto"/>
        <w:rPr>
          <w:rFonts w:ascii="Times New Roman" w:hAnsi="Times New Roman" w:cs="Times New Roman"/>
          <w:kern w:val="0"/>
          <w:sz w:val="20"/>
          <w:szCs w:val="20"/>
          <w14:ligatures w14:val="none"/>
        </w:rPr>
      </w:pPr>
    </w:p>
    <w:p w14:paraId="77BC8A48" w14:textId="77777777" w:rsidR="00712720" w:rsidRPr="0024405D"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28 U.S.C. § 1360(b).</w:t>
      </w:r>
    </w:p>
    <w:p w14:paraId="1711DA9A" w14:textId="77777777" w:rsidR="00712720" w:rsidRPr="0024405D"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No State, county, or subdivision—including utility regulators or telecom licensing bodies—may tax, encumber, regulate, or otherwise assert jurisdiction over tribal lands, trust property, or the internal affairs of the Mathias El Tribe. Any such attempt constitutes an ultra vires act and is void ab initio.</w:t>
      </w:r>
    </w:p>
    <w:p w14:paraId="22FC15BF" w14:textId="77777777" w:rsidR="00712720" w:rsidRPr="00403433" w:rsidRDefault="00712720" w:rsidP="00F063C5">
      <w:pPr>
        <w:spacing w:after="0" w:line="240" w:lineRule="auto"/>
        <w:rPr>
          <w:rFonts w:ascii="Times New Roman" w:eastAsia="Times New Roman" w:hAnsi="Times New Roman" w:cs="Times New Roman"/>
          <w:kern w:val="0"/>
          <w:sz w:val="20"/>
          <w:szCs w:val="20"/>
          <w14:ligatures w14:val="none"/>
        </w:rPr>
      </w:pPr>
    </w:p>
    <w:p w14:paraId="3BDB0506" w14:textId="77777777" w:rsidR="00712720" w:rsidRPr="0024405D" w:rsidRDefault="00712720" w:rsidP="00F063C5">
      <w:pPr>
        <w:spacing w:after="0" w:line="240" w:lineRule="auto"/>
        <w:outlineLvl w:val="2"/>
        <w:rPr>
          <w:rFonts w:ascii="Times New Roman" w:hAnsi="Times New Roman" w:cs="Times New Roman"/>
          <w:b/>
          <w:bCs/>
          <w:kern w:val="0"/>
          <w:sz w:val="27"/>
          <w:szCs w:val="27"/>
          <w14:ligatures w14:val="none"/>
        </w:rPr>
      </w:pPr>
      <w:r w:rsidRPr="0024405D">
        <w:rPr>
          <w:rFonts w:ascii="Times New Roman" w:eastAsia="Times New Roman" w:hAnsi="Times New Roman" w:cs="Times New Roman"/>
          <w:b/>
          <w:bCs/>
          <w:kern w:val="0"/>
          <w:sz w:val="27"/>
          <w:szCs w:val="27"/>
          <w14:ligatures w14:val="none"/>
        </w:rPr>
        <w:t>II. Utility Continuity (PG&amp;E + Sunrun)</w:t>
      </w:r>
    </w:p>
    <w:p w14:paraId="5C5C7957" w14:textId="77777777" w:rsidR="00712720" w:rsidRPr="0024405D" w:rsidRDefault="00712720" w:rsidP="00712720">
      <w:pPr>
        <w:numPr>
          <w:ilvl w:val="0"/>
          <w:numId w:val="34"/>
        </w:num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Trust Land Affixation – All energy and utility services affixed to the Trust Property (4305 Sun Devils Avenue, Bakersfield, CA 93313) are subject to exclusive tribal jurisdiction.</w:t>
      </w:r>
    </w:p>
    <w:p w14:paraId="62A7E75A" w14:textId="77777777" w:rsidR="00712720" w:rsidRPr="0024405D" w:rsidRDefault="00712720" w:rsidP="00712720">
      <w:pPr>
        <w:numPr>
          <w:ilvl w:val="0"/>
          <w:numId w:val="34"/>
        </w:num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Essential Function – Continuous utility service is essential to tribal health, governance, and security.</w:t>
      </w:r>
    </w:p>
    <w:p w14:paraId="5E636559" w14:textId="77777777" w:rsidR="00712720" w:rsidRPr="0024405D" w:rsidRDefault="00712720" w:rsidP="00712720">
      <w:pPr>
        <w:numPr>
          <w:ilvl w:val="0"/>
          <w:numId w:val="34"/>
        </w:num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Imminent Harm – PG&amp;E and Sunrun have asserted combined claims of approximately $10,000 ($8,000 PG&amp;E; $2,000 Sunrun). Threatened disconnection constitutes unlawful interference with tribal sovereignty and essential functions.</w:t>
      </w:r>
    </w:p>
    <w:p w14:paraId="2633F8A0" w14:textId="77777777" w:rsidR="00712720" w:rsidRPr="0024405D" w:rsidRDefault="00712720" w:rsidP="00712720">
      <w:pPr>
        <w:numPr>
          <w:ilvl w:val="0"/>
          <w:numId w:val="34"/>
        </w:num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lastRenderedPageBreak/>
        <w:t>Order – PG&amp;E and Sunrun are hereby enjoined from disconnecting, suspending, or interfering with service to the Trust Property absent tribal court authorization.</w:t>
      </w:r>
    </w:p>
    <w:p w14:paraId="32D5DE2E" w14:textId="77777777" w:rsidR="00712720" w:rsidRPr="00403433" w:rsidRDefault="00712720" w:rsidP="00F063C5">
      <w:pPr>
        <w:spacing w:after="0" w:line="240" w:lineRule="auto"/>
        <w:rPr>
          <w:rFonts w:ascii="Times New Roman" w:eastAsia="Times New Roman" w:hAnsi="Times New Roman" w:cs="Times New Roman"/>
          <w:kern w:val="0"/>
          <w:sz w:val="20"/>
          <w:szCs w:val="20"/>
          <w14:ligatures w14:val="none"/>
        </w:rPr>
      </w:pPr>
    </w:p>
    <w:p w14:paraId="51B94C33" w14:textId="77777777" w:rsidR="00712720" w:rsidRPr="0024405D" w:rsidRDefault="00712720" w:rsidP="00F063C5">
      <w:pPr>
        <w:spacing w:after="0" w:line="240" w:lineRule="auto"/>
        <w:outlineLvl w:val="2"/>
        <w:rPr>
          <w:rFonts w:ascii="Times New Roman" w:hAnsi="Times New Roman" w:cs="Times New Roman"/>
          <w:b/>
          <w:bCs/>
          <w:kern w:val="0"/>
          <w:sz w:val="27"/>
          <w:szCs w:val="27"/>
          <w14:ligatures w14:val="none"/>
        </w:rPr>
      </w:pPr>
      <w:r w:rsidRPr="0024405D">
        <w:rPr>
          <w:rFonts w:ascii="Times New Roman" w:eastAsia="Times New Roman" w:hAnsi="Times New Roman" w:cs="Times New Roman"/>
          <w:b/>
          <w:bCs/>
          <w:kern w:val="0"/>
          <w:sz w:val="27"/>
          <w:szCs w:val="27"/>
          <w14:ligatures w14:val="none"/>
        </w:rPr>
        <w:t>III. Telecommunications Sovereignty (T-Mobile + AT&amp;T)</w:t>
      </w:r>
    </w:p>
    <w:p w14:paraId="4CAD10ED" w14:textId="77777777" w:rsidR="00712720" w:rsidRPr="0024405D" w:rsidRDefault="00712720" w:rsidP="00712720">
      <w:pPr>
        <w:numPr>
          <w:ilvl w:val="0"/>
          <w:numId w:val="35"/>
        </w:num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Essential Telecommunications – Wi-Fi, broadband, and mobile services provided by T-Mobile and AT&amp;T constitute essential public utility services enabling governance, communications, and tribal medical access.</w:t>
      </w:r>
    </w:p>
    <w:p w14:paraId="266F2A1E" w14:textId="77777777" w:rsidR="00712720" w:rsidRPr="0024405D" w:rsidRDefault="00712720" w:rsidP="00712720">
      <w:pPr>
        <w:numPr>
          <w:ilvl w:val="0"/>
          <w:numId w:val="35"/>
        </w:num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Jurisdictional Barrier – Neither T-Mobile nor AT&amp;T may subject the Tribe or its instrumentalities to California state jurisdiction for billing, taxation, or enforcement.</w:t>
      </w:r>
    </w:p>
    <w:p w14:paraId="11AF8875" w14:textId="77777777" w:rsidR="00712720" w:rsidRPr="0024405D" w:rsidRDefault="00712720" w:rsidP="00712720">
      <w:pPr>
        <w:numPr>
          <w:ilvl w:val="0"/>
          <w:numId w:val="35"/>
        </w:num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Non-Alienation – Any attempt to suspend, regulate, or alienate telecommunications services without tribal authorization violates treaty rights (Treaty of Dancing Rabbit Creek, 1830, Article 14) and is void ab initio.</w:t>
      </w:r>
    </w:p>
    <w:p w14:paraId="1612B5E4" w14:textId="77777777" w:rsidR="00712720" w:rsidRPr="00DD50EC" w:rsidRDefault="00712720" w:rsidP="00F063C5">
      <w:pPr>
        <w:spacing w:after="0" w:line="240" w:lineRule="auto"/>
        <w:rPr>
          <w:rFonts w:ascii="Times New Roman" w:eastAsia="Times New Roman" w:hAnsi="Times New Roman" w:cs="Times New Roman"/>
          <w:kern w:val="0"/>
          <w:sz w:val="20"/>
          <w:szCs w:val="20"/>
          <w14:ligatures w14:val="none"/>
        </w:rPr>
      </w:pPr>
    </w:p>
    <w:p w14:paraId="66D8A6F2" w14:textId="77777777" w:rsidR="00712720" w:rsidRPr="0024405D" w:rsidRDefault="00712720" w:rsidP="00F063C5">
      <w:pPr>
        <w:spacing w:after="0" w:line="240" w:lineRule="auto"/>
        <w:outlineLvl w:val="2"/>
        <w:rPr>
          <w:rFonts w:ascii="Times New Roman" w:hAnsi="Times New Roman" w:cs="Times New Roman"/>
          <w:b/>
          <w:bCs/>
          <w:kern w:val="0"/>
          <w:sz w:val="27"/>
          <w:szCs w:val="27"/>
          <w14:ligatures w14:val="none"/>
        </w:rPr>
      </w:pPr>
      <w:r w:rsidRPr="0024405D">
        <w:rPr>
          <w:rFonts w:ascii="Times New Roman" w:eastAsia="Times New Roman" w:hAnsi="Times New Roman" w:cs="Times New Roman"/>
          <w:b/>
          <w:bCs/>
          <w:kern w:val="0"/>
          <w:sz w:val="27"/>
          <w:szCs w:val="27"/>
          <w14:ligatures w14:val="none"/>
        </w:rPr>
        <w:t>IV. Alienation Canon of Construction</w:t>
      </w:r>
    </w:p>
    <w:p w14:paraId="208977D2" w14:textId="77777777" w:rsidR="00712720" w:rsidRPr="00DD50EC" w:rsidRDefault="00712720" w:rsidP="00F063C5">
      <w:pPr>
        <w:spacing w:after="0" w:line="240" w:lineRule="auto"/>
        <w:rPr>
          <w:rFonts w:ascii="Times New Roman" w:hAnsi="Times New Roman" w:cs="Times New Roman"/>
          <w:kern w:val="0"/>
          <w:sz w:val="20"/>
          <w:szCs w:val="20"/>
          <w14:ligatures w14:val="none"/>
        </w:rPr>
      </w:pPr>
    </w:p>
    <w:p w14:paraId="54C667F6" w14:textId="77777777" w:rsidR="00712720" w:rsidRPr="0024405D"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Alienation, whether by taxation, forced jurisdiction, or denial of essential services, is expressly prohibited under treaty law, constitutional supremacy, and congressional enactments. No statutory provision authorizes alienation of tribal lands, property, or functions, and any such attempt is unenforceable as a matter of tribal, federal, and international law.</w:t>
      </w:r>
    </w:p>
    <w:p w14:paraId="5A8F3CCE" w14:textId="77777777" w:rsidR="00712720" w:rsidRPr="00DD50EC" w:rsidRDefault="00712720" w:rsidP="00F063C5">
      <w:pPr>
        <w:spacing w:after="0" w:line="240" w:lineRule="auto"/>
        <w:rPr>
          <w:rFonts w:ascii="Times New Roman" w:hAnsi="Times New Roman" w:cs="Times New Roman"/>
          <w:kern w:val="0"/>
          <w:sz w:val="20"/>
          <w:szCs w:val="20"/>
          <w14:ligatures w14:val="none"/>
        </w:rPr>
      </w:pPr>
    </w:p>
    <w:p w14:paraId="441C8F04" w14:textId="77777777" w:rsidR="00712720" w:rsidRPr="0024405D"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This canon applies broadly, ensuring:</w:t>
      </w:r>
    </w:p>
    <w:p w14:paraId="16A760AD" w14:textId="77777777" w:rsidR="00712720" w:rsidRPr="0024405D" w:rsidRDefault="00712720" w:rsidP="00712720">
      <w:pPr>
        <w:numPr>
          <w:ilvl w:val="0"/>
          <w:numId w:val="36"/>
        </w:num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Continuity of Existence – Tribal presence, land, and governance cannot be displaced or diminished.</w:t>
      </w:r>
    </w:p>
    <w:p w14:paraId="2E34869E" w14:textId="77777777" w:rsidR="00712720" w:rsidRPr="0024405D" w:rsidRDefault="00712720" w:rsidP="00712720">
      <w:pPr>
        <w:numPr>
          <w:ilvl w:val="0"/>
          <w:numId w:val="36"/>
        </w:num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Interpretive Barrier – Statutes affecting tribes must be construed liberally in favor of tribes and against alienation, consistent with the Indian Canons of Construction (Montana v. Blackfeet Tribe, 471 U.S. 759 (1985)).</w:t>
      </w:r>
    </w:p>
    <w:p w14:paraId="301D36F6" w14:textId="77777777" w:rsidR="00712720" w:rsidRPr="0024405D" w:rsidRDefault="00712720" w:rsidP="00712720">
      <w:pPr>
        <w:numPr>
          <w:ilvl w:val="0"/>
          <w:numId w:val="36"/>
        </w:num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Enforcement Standard – Any attempt at alienation is void and actionable under both tribal and federal enforcement authority.</w:t>
      </w:r>
    </w:p>
    <w:p w14:paraId="6BD253DB" w14:textId="77777777" w:rsidR="00712720" w:rsidRPr="001764A8" w:rsidRDefault="00712720" w:rsidP="00F063C5">
      <w:pPr>
        <w:spacing w:after="0" w:line="240" w:lineRule="auto"/>
        <w:rPr>
          <w:rFonts w:ascii="Times New Roman" w:eastAsia="Times New Roman" w:hAnsi="Times New Roman" w:cs="Times New Roman"/>
          <w:kern w:val="0"/>
          <w:sz w:val="20"/>
          <w:szCs w:val="20"/>
          <w14:ligatures w14:val="none"/>
        </w:rPr>
      </w:pPr>
    </w:p>
    <w:p w14:paraId="7EE7E640" w14:textId="77777777" w:rsidR="00712720" w:rsidRPr="0024405D" w:rsidRDefault="00712720" w:rsidP="00F063C5">
      <w:pPr>
        <w:spacing w:after="0" w:line="240" w:lineRule="auto"/>
        <w:outlineLvl w:val="2"/>
        <w:rPr>
          <w:rFonts w:ascii="Times New Roman" w:hAnsi="Times New Roman" w:cs="Times New Roman"/>
          <w:b/>
          <w:bCs/>
          <w:kern w:val="0"/>
          <w:sz w:val="27"/>
          <w:szCs w:val="27"/>
          <w14:ligatures w14:val="none"/>
        </w:rPr>
      </w:pPr>
      <w:r w:rsidRPr="0024405D">
        <w:rPr>
          <w:rFonts w:ascii="Times New Roman" w:eastAsia="Times New Roman" w:hAnsi="Times New Roman" w:cs="Times New Roman"/>
          <w:b/>
          <w:bCs/>
          <w:kern w:val="0"/>
          <w:sz w:val="27"/>
          <w:szCs w:val="27"/>
          <w14:ligatures w14:val="none"/>
        </w:rPr>
        <w:t>V. Religious Freedom Protection</w:t>
      </w:r>
    </w:p>
    <w:p w14:paraId="21792275" w14:textId="77777777" w:rsidR="00712720" w:rsidRPr="001764A8" w:rsidRDefault="00712720" w:rsidP="00F063C5">
      <w:pPr>
        <w:spacing w:after="0" w:line="240" w:lineRule="auto"/>
        <w:rPr>
          <w:rFonts w:ascii="Times New Roman" w:hAnsi="Times New Roman" w:cs="Times New Roman"/>
          <w:kern w:val="0"/>
          <w:sz w:val="20"/>
          <w:szCs w:val="20"/>
          <w14:ligatures w14:val="none"/>
        </w:rPr>
      </w:pPr>
    </w:p>
    <w:p w14:paraId="3F2BAA10" w14:textId="77777777" w:rsidR="00712720" w:rsidRPr="0024405D"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42 U.S.C. § 2000bb (RFRA).</w:t>
      </w:r>
    </w:p>
    <w:p w14:paraId="0927ED33" w14:textId="77777777" w:rsidR="00712720" w:rsidRPr="0024405D"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The ceremonial and observance practices of the Mathias El Tribe—including the Days of Remembrance (June 7–15)—are federally protected. Any burden by external actors (utility cut-offs, telecom disruptions) must satisfy strict scrutiny.</w:t>
      </w:r>
    </w:p>
    <w:p w14:paraId="5BC378A5" w14:textId="77777777" w:rsidR="00712720" w:rsidRPr="001764A8" w:rsidRDefault="00712720" w:rsidP="00F063C5">
      <w:pPr>
        <w:spacing w:after="0" w:line="240" w:lineRule="auto"/>
        <w:rPr>
          <w:rFonts w:ascii="Times New Roman" w:eastAsia="Times New Roman" w:hAnsi="Times New Roman" w:cs="Times New Roman"/>
          <w:kern w:val="0"/>
          <w:sz w:val="20"/>
          <w:szCs w:val="20"/>
          <w14:ligatures w14:val="none"/>
        </w:rPr>
      </w:pPr>
    </w:p>
    <w:p w14:paraId="74F837D7" w14:textId="77777777" w:rsidR="00712720" w:rsidRPr="0024405D" w:rsidRDefault="00712720" w:rsidP="00F063C5">
      <w:pPr>
        <w:spacing w:after="0" w:line="240" w:lineRule="auto"/>
        <w:outlineLvl w:val="2"/>
        <w:rPr>
          <w:rFonts w:ascii="Times New Roman" w:hAnsi="Times New Roman" w:cs="Times New Roman"/>
          <w:b/>
          <w:bCs/>
          <w:kern w:val="0"/>
          <w:sz w:val="27"/>
          <w:szCs w:val="27"/>
          <w14:ligatures w14:val="none"/>
        </w:rPr>
      </w:pPr>
      <w:r w:rsidRPr="0024405D">
        <w:rPr>
          <w:rFonts w:ascii="Times New Roman" w:eastAsia="Times New Roman" w:hAnsi="Times New Roman" w:cs="Times New Roman"/>
          <w:b/>
          <w:bCs/>
          <w:kern w:val="0"/>
          <w:sz w:val="27"/>
          <w:szCs w:val="27"/>
          <w14:ligatures w14:val="none"/>
        </w:rPr>
        <w:t>VI. CPUC Consultation and Federal Procedures</w:t>
      </w:r>
    </w:p>
    <w:p w14:paraId="71833481" w14:textId="77777777" w:rsidR="00712720" w:rsidRPr="001764A8" w:rsidRDefault="00712720" w:rsidP="00F063C5">
      <w:pPr>
        <w:spacing w:after="0" w:line="240" w:lineRule="auto"/>
        <w:rPr>
          <w:rFonts w:ascii="Times New Roman" w:hAnsi="Times New Roman" w:cs="Times New Roman"/>
          <w:kern w:val="0"/>
          <w:sz w:val="20"/>
          <w:szCs w:val="20"/>
          <w14:ligatures w14:val="none"/>
        </w:rPr>
      </w:pPr>
    </w:p>
    <w:p w14:paraId="51822D60" w14:textId="77777777" w:rsidR="00712720" w:rsidRPr="0024405D"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All utility and telecommunications service providers under CPUC jurisdiction, including PG&amp;E, Sunrun, AT&amp;T, and T-Mobile, are bound by the CPUC Tribal Consultation Policy, the Office of the Tribal Advisor framework, and the Tribal Land Transfer Policy.</w:t>
      </w:r>
    </w:p>
    <w:p w14:paraId="0A13A71A" w14:textId="77777777" w:rsidR="00712720" w:rsidRPr="001764A8" w:rsidRDefault="00712720" w:rsidP="00F063C5">
      <w:pPr>
        <w:spacing w:after="0" w:line="240" w:lineRule="auto"/>
        <w:rPr>
          <w:rFonts w:ascii="Times New Roman" w:hAnsi="Times New Roman" w:cs="Times New Roman"/>
          <w:kern w:val="0"/>
          <w:sz w:val="20"/>
          <w:szCs w:val="20"/>
          <w14:ligatures w14:val="none"/>
        </w:rPr>
      </w:pPr>
    </w:p>
    <w:p w14:paraId="2EFE4126" w14:textId="77777777" w:rsidR="00712720" w:rsidRPr="0024405D"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Accordingly, any action, decision, or change in service affecting tribal lands or citizens of the Mathias El Tribe must be conducted on a government-to-government basis with formal consultation directed to the Tribe’s governing body. No provider or regulator may bypass tribal authority by asserting unilateral control, altering service, or encumbering tribal property without express consultation and consent.</w:t>
      </w:r>
    </w:p>
    <w:p w14:paraId="6B162B30" w14:textId="77777777" w:rsidR="00712720" w:rsidRPr="001764A8" w:rsidRDefault="00712720" w:rsidP="00F063C5">
      <w:pPr>
        <w:spacing w:after="0" w:line="240" w:lineRule="auto"/>
        <w:rPr>
          <w:rFonts w:ascii="Times New Roman" w:eastAsia="Times New Roman" w:hAnsi="Times New Roman" w:cs="Times New Roman"/>
          <w:kern w:val="0"/>
          <w:sz w:val="20"/>
          <w:szCs w:val="20"/>
          <w14:ligatures w14:val="none"/>
        </w:rPr>
      </w:pPr>
    </w:p>
    <w:p w14:paraId="4C83CF37" w14:textId="77777777" w:rsidR="00712720" w:rsidRPr="0024405D" w:rsidRDefault="00712720" w:rsidP="00F063C5">
      <w:pPr>
        <w:spacing w:after="0" w:line="240" w:lineRule="auto"/>
        <w:outlineLvl w:val="2"/>
        <w:rPr>
          <w:rFonts w:ascii="Times New Roman" w:hAnsi="Times New Roman" w:cs="Times New Roman"/>
          <w:b/>
          <w:bCs/>
          <w:kern w:val="0"/>
          <w:sz w:val="27"/>
          <w:szCs w:val="27"/>
          <w14:ligatures w14:val="none"/>
        </w:rPr>
      </w:pPr>
      <w:r w:rsidRPr="0024405D">
        <w:rPr>
          <w:rFonts w:ascii="Times New Roman" w:eastAsia="Times New Roman" w:hAnsi="Times New Roman" w:cs="Times New Roman"/>
          <w:b/>
          <w:bCs/>
          <w:kern w:val="0"/>
          <w:sz w:val="27"/>
          <w:szCs w:val="27"/>
          <w14:ligatures w14:val="none"/>
        </w:rPr>
        <w:t>VII. Federal Enforcement Duty</w:t>
      </w:r>
    </w:p>
    <w:p w14:paraId="77B157B4" w14:textId="77777777" w:rsidR="00712720" w:rsidRPr="001764A8" w:rsidRDefault="00712720" w:rsidP="00F063C5">
      <w:pPr>
        <w:spacing w:after="0" w:line="240" w:lineRule="auto"/>
        <w:rPr>
          <w:rFonts w:ascii="Times New Roman" w:hAnsi="Times New Roman" w:cs="Times New Roman"/>
          <w:kern w:val="0"/>
          <w:sz w:val="20"/>
          <w:szCs w:val="20"/>
          <w14:ligatures w14:val="none"/>
        </w:rPr>
      </w:pPr>
    </w:p>
    <w:p w14:paraId="697E95B7" w14:textId="77777777" w:rsidR="00712720" w:rsidRPr="0024405D"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25 U.S.C. § 175.</w:t>
      </w:r>
    </w:p>
    <w:p w14:paraId="38427AF4" w14:textId="77777777" w:rsidR="00712720" w:rsidRPr="0024405D"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The U.S. Attorney General has a non-discretionary duty to represent the Tribe in enforcing these rights. Notice has been duly issued; enforcement against the named entities is a continuing federal obligation.</w:t>
      </w:r>
    </w:p>
    <w:p w14:paraId="6973A493" w14:textId="77777777" w:rsidR="00712720" w:rsidRPr="001764A8" w:rsidRDefault="00712720" w:rsidP="00F063C5">
      <w:pPr>
        <w:spacing w:after="0" w:line="240" w:lineRule="auto"/>
        <w:rPr>
          <w:rFonts w:ascii="Times New Roman" w:eastAsia="Times New Roman" w:hAnsi="Times New Roman" w:cs="Times New Roman"/>
          <w:kern w:val="0"/>
          <w:sz w:val="20"/>
          <w:szCs w:val="20"/>
          <w14:ligatures w14:val="none"/>
        </w:rPr>
      </w:pPr>
    </w:p>
    <w:p w14:paraId="147D959D" w14:textId="77777777" w:rsidR="00712720" w:rsidRPr="0024405D" w:rsidRDefault="00712720" w:rsidP="00F063C5">
      <w:pPr>
        <w:spacing w:after="0" w:line="240" w:lineRule="auto"/>
        <w:outlineLvl w:val="2"/>
        <w:rPr>
          <w:rFonts w:ascii="Times New Roman" w:hAnsi="Times New Roman" w:cs="Times New Roman"/>
          <w:b/>
          <w:bCs/>
          <w:kern w:val="0"/>
          <w:sz w:val="27"/>
          <w:szCs w:val="27"/>
          <w14:ligatures w14:val="none"/>
        </w:rPr>
      </w:pPr>
      <w:r w:rsidRPr="0024405D">
        <w:rPr>
          <w:rFonts w:ascii="Times New Roman" w:eastAsia="Times New Roman" w:hAnsi="Times New Roman" w:cs="Times New Roman"/>
          <w:b/>
          <w:bCs/>
          <w:kern w:val="0"/>
          <w:sz w:val="27"/>
          <w:szCs w:val="27"/>
          <w14:ligatures w14:val="none"/>
        </w:rPr>
        <w:lastRenderedPageBreak/>
        <w:t>VIII. Independent Judicial Review</w:t>
      </w:r>
    </w:p>
    <w:p w14:paraId="30E16554" w14:textId="77777777" w:rsidR="00712720" w:rsidRPr="001764A8" w:rsidRDefault="00712720" w:rsidP="00F063C5">
      <w:pPr>
        <w:spacing w:after="0" w:line="240" w:lineRule="auto"/>
        <w:rPr>
          <w:rFonts w:ascii="Times New Roman" w:hAnsi="Times New Roman" w:cs="Times New Roman"/>
          <w:kern w:val="0"/>
          <w:sz w:val="20"/>
          <w:szCs w:val="20"/>
          <w14:ligatures w14:val="none"/>
        </w:rPr>
      </w:pPr>
    </w:p>
    <w:p w14:paraId="51F91152" w14:textId="77777777" w:rsidR="00712720" w:rsidRPr="0024405D"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Loper Bright Enterprises v. Raimondo, 144 S. Ct. 2244 (2024).</w:t>
      </w:r>
    </w:p>
    <w:p w14:paraId="5B1A4D68" w14:textId="77777777" w:rsidR="00712720" w:rsidRPr="0024405D"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Chevron deference is abolished. Courts must interpret statutes independently and cannot defer to agency/utility/telecom “policies” that contradict treaty or statutory protections.</w:t>
      </w:r>
    </w:p>
    <w:p w14:paraId="1B1867B9" w14:textId="77777777" w:rsidR="00712720" w:rsidRPr="001764A8" w:rsidRDefault="00712720" w:rsidP="00F063C5">
      <w:pPr>
        <w:spacing w:after="0" w:line="240" w:lineRule="auto"/>
        <w:rPr>
          <w:rFonts w:ascii="Times New Roman" w:eastAsia="Times New Roman" w:hAnsi="Times New Roman" w:cs="Times New Roman"/>
          <w:kern w:val="0"/>
          <w:sz w:val="20"/>
          <w:szCs w:val="20"/>
          <w14:ligatures w14:val="none"/>
        </w:rPr>
      </w:pPr>
    </w:p>
    <w:p w14:paraId="124FEEFD" w14:textId="77777777" w:rsidR="00712720" w:rsidRPr="0024405D" w:rsidRDefault="00712720" w:rsidP="00F063C5">
      <w:pPr>
        <w:spacing w:after="0" w:line="240" w:lineRule="auto"/>
        <w:outlineLvl w:val="2"/>
        <w:rPr>
          <w:rFonts w:ascii="Times New Roman" w:hAnsi="Times New Roman" w:cs="Times New Roman"/>
          <w:b/>
          <w:bCs/>
          <w:kern w:val="0"/>
          <w:sz w:val="27"/>
          <w:szCs w:val="27"/>
          <w14:ligatures w14:val="none"/>
        </w:rPr>
      </w:pPr>
      <w:r w:rsidRPr="0024405D">
        <w:rPr>
          <w:rFonts w:ascii="Times New Roman" w:eastAsia="Times New Roman" w:hAnsi="Times New Roman" w:cs="Times New Roman"/>
          <w:b/>
          <w:bCs/>
          <w:kern w:val="0"/>
          <w:sz w:val="27"/>
          <w:szCs w:val="27"/>
          <w14:ligatures w14:val="none"/>
        </w:rPr>
        <w:t>IX. Reservation of Sovereignty</w:t>
      </w:r>
    </w:p>
    <w:p w14:paraId="1F901E07" w14:textId="77777777" w:rsidR="00712720" w:rsidRPr="001764A8" w:rsidRDefault="00712720" w:rsidP="00F063C5">
      <w:pPr>
        <w:spacing w:after="0" w:line="240" w:lineRule="auto"/>
        <w:rPr>
          <w:rFonts w:ascii="Times New Roman" w:hAnsi="Times New Roman" w:cs="Times New Roman"/>
          <w:kern w:val="0"/>
          <w:sz w:val="20"/>
          <w:szCs w:val="20"/>
          <w14:ligatures w14:val="none"/>
        </w:rPr>
      </w:pPr>
    </w:p>
    <w:p w14:paraId="34B942B7" w14:textId="687084C5" w:rsidR="00352711"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Nothing herein waives sovereign immunity, consents to suit, or diminishes the Final Judgment of Case No. MET-SC-2025-007. These provisions bind PG&amp;E, Sunrun, T-Mobile, and AT&amp;T under the Supremacy Clause, full faith and credit statutes, and the federal trust responsibility.</w:t>
      </w:r>
    </w:p>
    <w:p w14:paraId="4C1AB50D" w14:textId="77777777" w:rsidR="00352711" w:rsidRPr="00843540" w:rsidRDefault="00352711" w:rsidP="00843540">
      <w:pPr>
        <w:pStyle w:val="p1"/>
        <w:spacing w:after="0" w:afterAutospacing="0"/>
        <w:divId w:val="20591955"/>
        <w:rPr>
          <w:b/>
          <w:bCs/>
        </w:rPr>
      </w:pPr>
      <w:r w:rsidRPr="00843540">
        <w:rPr>
          <w:rStyle w:val="s1"/>
          <w:b/>
          <w:bCs/>
        </w:rPr>
        <w:t>IT IS SO ORDERED AND DECREED</w:t>
      </w:r>
    </w:p>
    <w:p w14:paraId="493912C5" w14:textId="2D91EDFA" w:rsidR="00C06632" w:rsidRDefault="00352711" w:rsidP="00843540">
      <w:pPr>
        <w:pStyle w:val="p1"/>
        <w:spacing w:after="0" w:afterAutospacing="0"/>
        <w:divId w:val="20591955"/>
        <w:rPr>
          <w:rStyle w:val="s2"/>
        </w:rPr>
      </w:pPr>
      <w:r>
        <w:rPr>
          <w:rStyle w:val="s2"/>
        </w:rPr>
        <w:t>Dated: August 22, 2025</w:t>
      </w:r>
    </w:p>
    <w:p w14:paraId="4A15D2DC" w14:textId="77777777" w:rsidR="00C06632" w:rsidRDefault="00C06632" w:rsidP="00C06632">
      <w:pPr>
        <w:pStyle w:val="p1"/>
        <w:spacing w:before="0" w:beforeAutospacing="0" w:after="0" w:afterAutospacing="0"/>
        <w:divId w:val="20591955"/>
      </w:pPr>
    </w:p>
    <w:p w14:paraId="3B43F0A8" w14:textId="77777777" w:rsidR="00074740" w:rsidRPr="00780359" w:rsidRDefault="00074740" w:rsidP="00780359">
      <w:pPr>
        <w:pStyle w:val="p1"/>
        <w:spacing w:before="0" w:beforeAutospacing="0" w:after="0" w:afterAutospacing="0"/>
        <w:jc w:val="center"/>
        <w:divId w:val="517936357"/>
        <w:rPr>
          <w:u w:val="single"/>
        </w:rPr>
      </w:pPr>
      <w:r w:rsidRPr="00780359">
        <w:rPr>
          <w:rStyle w:val="s1"/>
          <w:u w:val="single"/>
        </w:rPr>
        <w:t>Chief Mathias El</w:t>
      </w:r>
    </w:p>
    <w:p w14:paraId="38742A5C" w14:textId="77777777" w:rsidR="00074740" w:rsidRDefault="00074740" w:rsidP="00780359">
      <w:pPr>
        <w:pStyle w:val="p1"/>
        <w:spacing w:before="0" w:beforeAutospacing="0" w:after="0" w:afterAutospacing="0"/>
        <w:jc w:val="center"/>
        <w:divId w:val="517936357"/>
      </w:pPr>
      <w:r>
        <w:rPr>
          <w:rStyle w:val="s2"/>
        </w:rPr>
        <w:t>Chief Justice, Mathias El Tribe Supreme Court</w:t>
      </w:r>
    </w:p>
    <w:p w14:paraId="5B89D048" w14:textId="77777777" w:rsidR="00074740" w:rsidRDefault="00074740" w:rsidP="00780359">
      <w:pPr>
        <w:pStyle w:val="p1"/>
        <w:spacing w:before="0" w:beforeAutospacing="0" w:after="0" w:afterAutospacing="0"/>
        <w:jc w:val="center"/>
        <w:divId w:val="517936357"/>
      </w:pPr>
      <w:r>
        <w:rPr>
          <w:rStyle w:val="s2"/>
        </w:rPr>
        <w:t>Trustee, Mathias El Tribe Trust</w:t>
      </w:r>
    </w:p>
    <w:p w14:paraId="5C13DE0C" w14:textId="77777777" w:rsidR="00352711" w:rsidRPr="0024405D" w:rsidRDefault="00352711" w:rsidP="00F063C5">
      <w:pPr>
        <w:spacing w:after="0" w:line="240" w:lineRule="auto"/>
        <w:rPr>
          <w:rFonts w:ascii="Times New Roman" w:hAnsi="Times New Roman" w:cs="Times New Roman"/>
          <w:kern w:val="0"/>
          <w14:ligatures w14:val="none"/>
        </w:rPr>
      </w:pPr>
    </w:p>
    <w:p w14:paraId="0D2F9915" w14:textId="77777777" w:rsidR="00712720" w:rsidRPr="001764A8" w:rsidRDefault="00712720" w:rsidP="00F063C5">
      <w:pPr>
        <w:spacing w:after="0" w:line="240" w:lineRule="auto"/>
        <w:rPr>
          <w:rFonts w:ascii="Times New Roman" w:eastAsia="Times New Roman" w:hAnsi="Times New Roman" w:cs="Times New Roman"/>
          <w:kern w:val="0"/>
          <w:sz w:val="20"/>
          <w:szCs w:val="20"/>
          <w14:ligatures w14:val="none"/>
        </w:rPr>
      </w:pPr>
    </w:p>
    <w:p w14:paraId="76107166" w14:textId="77777777" w:rsidR="00712720" w:rsidRPr="0024405D" w:rsidRDefault="00712720" w:rsidP="00F063C5">
      <w:pPr>
        <w:spacing w:after="0" w:line="240" w:lineRule="auto"/>
        <w:outlineLvl w:val="1"/>
        <w:rPr>
          <w:rFonts w:ascii="Times New Roman" w:hAnsi="Times New Roman" w:cs="Times New Roman"/>
          <w:b/>
          <w:bCs/>
          <w:kern w:val="0"/>
          <w:sz w:val="36"/>
          <w:szCs w:val="36"/>
          <w14:ligatures w14:val="none"/>
        </w:rPr>
      </w:pPr>
      <w:r w:rsidRPr="0024405D">
        <w:rPr>
          <w:rFonts w:ascii="Times New Roman" w:eastAsia="Times New Roman" w:hAnsi="Times New Roman" w:cs="Times New Roman"/>
          <w:b/>
          <w:bCs/>
          <w:kern w:val="0"/>
          <w:sz w:val="36"/>
          <w:szCs w:val="36"/>
          <w14:ligatures w14:val="none"/>
        </w:rPr>
        <w:t>CERTIFICATE OF SERVICE</w:t>
      </w:r>
    </w:p>
    <w:p w14:paraId="6FDB4DCA" w14:textId="77777777" w:rsidR="00712720" w:rsidRPr="00EA45E9" w:rsidRDefault="00712720" w:rsidP="00F063C5">
      <w:pPr>
        <w:spacing w:after="0" w:line="240" w:lineRule="auto"/>
        <w:rPr>
          <w:rFonts w:ascii="Times New Roman" w:hAnsi="Times New Roman" w:cs="Times New Roman"/>
          <w:kern w:val="0"/>
          <w:sz w:val="20"/>
          <w:szCs w:val="20"/>
          <w14:ligatures w14:val="none"/>
        </w:rPr>
      </w:pPr>
    </w:p>
    <w:p w14:paraId="4B442243" w14:textId="77777777" w:rsidR="00712720" w:rsidRPr="0024405D" w:rsidRDefault="00712720" w:rsidP="00F063C5">
      <w:pPr>
        <w:spacing w:after="0" w:line="240" w:lineRule="auto"/>
        <w:outlineLvl w:val="2"/>
        <w:rPr>
          <w:rFonts w:ascii="Times New Roman" w:eastAsia="Times New Roman" w:hAnsi="Times New Roman" w:cs="Times New Roman"/>
          <w:b/>
          <w:bCs/>
          <w:kern w:val="0"/>
          <w:sz w:val="27"/>
          <w:szCs w:val="27"/>
          <w14:ligatures w14:val="none"/>
        </w:rPr>
      </w:pPr>
      <w:r w:rsidRPr="0024405D">
        <w:rPr>
          <w:rFonts w:ascii="Times New Roman" w:eastAsia="Times New Roman" w:hAnsi="Times New Roman" w:cs="Times New Roman"/>
          <w:b/>
          <w:bCs/>
          <w:kern w:val="0"/>
          <w:sz w:val="27"/>
          <w:szCs w:val="27"/>
          <w14:ligatures w14:val="none"/>
        </w:rPr>
        <w:t>Group 1: PG&amp;E + Sunrun + CPUC</w:t>
      </w:r>
    </w:p>
    <w:p w14:paraId="0FE34321" w14:textId="77777777" w:rsidR="00712720" w:rsidRPr="00EA45E9" w:rsidRDefault="00712720" w:rsidP="00F063C5">
      <w:pPr>
        <w:spacing w:after="0" w:line="240" w:lineRule="auto"/>
        <w:rPr>
          <w:rFonts w:ascii="Times New Roman" w:hAnsi="Times New Roman" w:cs="Times New Roman"/>
          <w:kern w:val="0"/>
          <w:sz w:val="20"/>
          <w:szCs w:val="20"/>
          <w14:ligatures w14:val="none"/>
        </w:rPr>
      </w:pPr>
    </w:p>
    <w:p w14:paraId="1C92F3DA" w14:textId="77777777" w:rsidR="00712720" w:rsidRPr="0024405D"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Served August 22, 2025, by certified mail and electronic transmission:</w:t>
      </w:r>
    </w:p>
    <w:p w14:paraId="4CA1A1C6" w14:textId="77777777" w:rsidR="00712720" w:rsidRPr="0024405D" w:rsidRDefault="00712720" w:rsidP="00712720">
      <w:pPr>
        <w:numPr>
          <w:ilvl w:val="0"/>
          <w:numId w:val="37"/>
        </w:num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PG&amp;E – 77 Beale Street, San Francisco, CA 94105 (Tribal Liaison: Reno.Franklin@pge.com)</w:t>
      </w:r>
    </w:p>
    <w:p w14:paraId="6FC80FE1" w14:textId="77777777" w:rsidR="00712720" w:rsidRPr="0024405D" w:rsidRDefault="00712720" w:rsidP="00712720">
      <w:pPr>
        <w:numPr>
          <w:ilvl w:val="0"/>
          <w:numId w:val="37"/>
        </w:num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Sunrun, Inc. – 225 Bush Street, Suite 1400, San Francisco, CA 94104 (legal@sunrun.com)</w:t>
      </w:r>
    </w:p>
    <w:p w14:paraId="69161A9B" w14:textId="77777777" w:rsidR="00712720" w:rsidRPr="0024405D" w:rsidRDefault="00712720" w:rsidP="00712720">
      <w:pPr>
        <w:numPr>
          <w:ilvl w:val="0"/>
          <w:numId w:val="37"/>
        </w:num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California Public Utilities Commission (CPUC) – Office of Tribal Advisor, 505 Van Ness Avenue, San Francisco, CA 94102 (TribalAdvisor@cpuc.ca.gov)</w:t>
      </w:r>
    </w:p>
    <w:p w14:paraId="10078D7E" w14:textId="77777777" w:rsidR="00712720" w:rsidRPr="00EA45E9" w:rsidRDefault="00712720" w:rsidP="00F063C5">
      <w:pPr>
        <w:spacing w:after="0" w:line="240" w:lineRule="auto"/>
        <w:rPr>
          <w:rFonts w:ascii="Times New Roman" w:hAnsi="Times New Roman" w:cs="Times New Roman"/>
          <w:kern w:val="0"/>
          <w:sz w:val="20"/>
          <w:szCs w:val="20"/>
          <w14:ligatures w14:val="none"/>
        </w:rPr>
      </w:pPr>
    </w:p>
    <w:p w14:paraId="0CCBE4CE" w14:textId="77777777" w:rsidR="00712720" w:rsidRPr="0024405D" w:rsidRDefault="00712720" w:rsidP="00F063C5">
      <w:pPr>
        <w:spacing w:after="0" w:line="240" w:lineRule="auto"/>
        <w:outlineLvl w:val="2"/>
        <w:rPr>
          <w:rFonts w:ascii="Times New Roman" w:eastAsia="Times New Roman" w:hAnsi="Times New Roman" w:cs="Times New Roman"/>
          <w:b/>
          <w:bCs/>
          <w:kern w:val="0"/>
          <w:sz w:val="27"/>
          <w:szCs w:val="27"/>
          <w14:ligatures w14:val="none"/>
        </w:rPr>
      </w:pPr>
      <w:r w:rsidRPr="0024405D">
        <w:rPr>
          <w:rFonts w:ascii="Times New Roman" w:eastAsia="Times New Roman" w:hAnsi="Times New Roman" w:cs="Times New Roman"/>
          <w:b/>
          <w:bCs/>
          <w:kern w:val="0"/>
          <w:sz w:val="27"/>
          <w:szCs w:val="27"/>
          <w14:ligatures w14:val="none"/>
        </w:rPr>
        <w:t>Group 2: T-Mobile + AT&amp;T</w:t>
      </w:r>
    </w:p>
    <w:p w14:paraId="05157800" w14:textId="77777777" w:rsidR="00712720" w:rsidRPr="00EA45E9" w:rsidRDefault="00712720" w:rsidP="00F063C5">
      <w:pPr>
        <w:spacing w:after="0" w:line="240" w:lineRule="auto"/>
        <w:rPr>
          <w:rFonts w:ascii="Times New Roman" w:hAnsi="Times New Roman" w:cs="Times New Roman"/>
          <w:kern w:val="0"/>
          <w:sz w:val="20"/>
          <w:szCs w:val="20"/>
          <w14:ligatures w14:val="none"/>
        </w:rPr>
      </w:pPr>
    </w:p>
    <w:p w14:paraId="23A93E37" w14:textId="77777777" w:rsidR="00712720" w:rsidRPr="0024405D"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Served August 22, 2025, by certified mail and electronic transmission:</w:t>
      </w:r>
    </w:p>
    <w:p w14:paraId="2EC48FE2" w14:textId="77777777" w:rsidR="00712720" w:rsidRPr="0024405D" w:rsidRDefault="00712720" w:rsidP="00712720">
      <w:pPr>
        <w:numPr>
          <w:ilvl w:val="0"/>
          <w:numId w:val="38"/>
        </w:num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T-Mobile USA, Inc. – 12920 SE 38th Street, Bellevue, WA 98006 (legal@t-mobile.com)</w:t>
      </w:r>
    </w:p>
    <w:p w14:paraId="45D0AB04" w14:textId="77777777" w:rsidR="00712720" w:rsidRPr="0024405D" w:rsidRDefault="00712720" w:rsidP="00712720">
      <w:pPr>
        <w:numPr>
          <w:ilvl w:val="0"/>
          <w:numId w:val="38"/>
        </w:num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 xml:space="preserve">AT&amp;T Inc. – 208 S. </w:t>
      </w:r>
      <w:proofErr w:type="spellStart"/>
      <w:r w:rsidRPr="0024405D">
        <w:rPr>
          <w:rFonts w:ascii="Times New Roman" w:hAnsi="Times New Roman" w:cs="Times New Roman"/>
          <w:kern w:val="0"/>
          <w14:ligatures w14:val="none"/>
        </w:rPr>
        <w:t>Akard</w:t>
      </w:r>
      <w:proofErr w:type="spellEnd"/>
      <w:r w:rsidRPr="0024405D">
        <w:rPr>
          <w:rFonts w:ascii="Times New Roman" w:hAnsi="Times New Roman" w:cs="Times New Roman"/>
          <w:kern w:val="0"/>
          <w14:ligatures w14:val="none"/>
        </w:rPr>
        <w:t xml:space="preserve"> Street, Dallas, TX 75202 (attlegal@att.com)</w:t>
      </w:r>
    </w:p>
    <w:p w14:paraId="713D9117" w14:textId="77777777" w:rsidR="00712720" w:rsidRPr="00EA45E9" w:rsidRDefault="00712720" w:rsidP="00F063C5">
      <w:pPr>
        <w:spacing w:after="0" w:line="240" w:lineRule="auto"/>
        <w:rPr>
          <w:rFonts w:ascii="Times New Roman" w:eastAsia="Times New Roman" w:hAnsi="Times New Roman" w:cs="Times New Roman"/>
          <w:kern w:val="0"/>
          <w:sz w:val="20"/>
          <w:szCs w:val="20"/>
          <w14:ligatures w14:val="none"/>
        </w:rPr>
      </w:pPr>
    </w:p>
    <w:p w14:paraId="61F41AFC" w14:textId="77777777" w:rsidR="00712720" w:rsidRPr="0024405D" w:rsidRDefault="00712720" w:rsidP="00F063C5">
      <w:pPr>
        <w:spacing w:after="0" w:line="240" w:lineRule="auto"/>
        <w:rPr>
          <w:rFonts w:ascii="Times New Roman" w:hAnsi="Times New Roman" w:cs="Times New Roman"/>
          <w:kern w:val="0"/>
          <w14:ligatures w14:val="none"/>
        </w:rPr>
      </w:pPr>
      <w:r w:rsidRPr="0024405D">
        <w:rPr>
          <w:rFonts w:ascii="Times New Roman" w:hAnsi="Times New Roman" w:cs="Times New Roman"/>
          <w:kern w:val="0"/>
          <w14:ligatures w14:val="none"/>
        </w:rPr>
        <w:t>Service of this instrument constitutes lawful notice and due process under tribal, federal, and constitutional law.</w:t>
      </w:r>
    </w:p>
    <w:p w14:paraId="6CBC2A82" w14:textId="77777777" w:rsidR="00712720" w:rsidRPr="00282C39" w:rsidRDefault="00712720" w:rsidP="00F063C5">
      <w:pPr>
        <w:spacing w:after="0" w:line="240" w:lineRule="auto"/>
        <w:rPr>
          <w:color w:val="000000" w:themeColor="text1"/>
        </w:rPr>
      </w:pPr>
    </w:p>
    <w:p w14:paraId="77E83CB5" w14:textId="09B7ABD3" w:rsidR="00A447B2" w:rsidRPr="00282C39" w:rsidRDefault="00A447B2" w:rsidP="00712720">
      <w:pPr>
        <w:spacing w:after="0"/>
        <w:rPr>
          <w:color w:val="000000" w:themeColor="text1"/>
        </w:rPr>
      </w:pPr>
    </w:p>
    <w:sectPr w:rsidR="00A447B2" w:rsidRPr="00282C39" w:rsidSect="00D50AF5">
      <w:footerReference w:type="default" r:id="rId8"/>
      <w:pgSz w:w="12240" w:h="15840"/>
      <w:pgMar w:top="720" w:right="720" w:bottom="900" w:left="720" w:header="720" w:footer="4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FCEEC" w14:textId="77777777" w:rsidR="009F01C2" w:rsidRDefault="009F01C2" w:rsidP="002118B8">
      <w:pPr>
        <w:spacing w:after="0" w:line="240" w:lineRule="auto"/>
      </w:pPr>
      <w:r>
        <w:separator/>
      </w:r>
    </w:p>
  </w:endnote>
  <w:endnote w:type="continuationSeparator" w:id="0">
    <w:p w14:paraId="7D884863" w14:textId="77777777" w:rsidR="009F01C2" w:rsidRDefault="009F01C2" w:rsidP="00211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5966" w14:textId="5BCA926D" w:rsidR="00D14286" w:rsidRDefault="0038422E" w:rsidP="00C7712C">
    <w:pPr>
      <w:pStyle w:val="p1"/>
      <w:divId w:val="1657957778"/>
    </w:pPr>
    <w:sdt>
      <w:sdtPr>
        <w:id w:val="-651060431"/>
        <w:docPartObj>
          <w:docPartGallery w:val="Page Numbers (Bottom of Page)"/>
          <w:docPartUnique/>
        </w:docPartObj>
      </w:sdtPr>
      <w:sdtContent>
        <w:sdt>
          <w:sdtPr>
            <w:id w:val="-1705238520"/>
            <w:docPartObj>
              <w:docPartGallery w:val="Page Numbers (Top of Page)"/>
              <w:docPartUnique/>
            </w:docPartObj>
          </w:sdtPr>
          <w:sdtContent>
            <w:r w:rsidR="00C7712C">
              <w:rPr>
                <w:rStyle w:val="s1"/>
              </w:rPr>
              <w:t>Case No. MET-SC-2025-007</w:t>
            </w:r>
            <w:r w:rsidR="00967046">
              <w:rPr>
                <w:rStyle w:val="s1"/>
              </w:rPr>
              <w:t xml:space="preserve"> - </w:t>
            </w:r>
            <w:r w:rsidR="00C7712C">
              <w:rPr>
                <w:rStyle w:val="s1"/>
              </w:rPr>
              <w:t xml:space="preserve">Utility/Telecom Non-Interference | Enforceable per 25 U.S.C. § 175 </w:t>
            </w:r>
            <w:r w:rsidR="00967046">
              <w:rPr>
                <w:rStyle w:val="s1"/>
              </w:rPr>
              <w:t xml:space="preserve"> </w:t>
            </w:r>
            <w:r w:rsidR="00E0204F">
              <w:t xml:space="preserve">Page </w:t>
            </w:r>
            <w:r w:rsidR="00E0204F">
              <w:rPr>
                <w:b/>
                <w:bCs/>
              </w:rPr>
              <w:fldChar w:fldCharType="begin"/>
            </w:r>
            <w:r w:rsidR="00E0204F">
              <w:rPr>
                <w:b/>
                <w:bCs/>
              </w:rPr>
              <w:instrText xml:space="preserve"> PAGE </w:instrText>
            </w:r>
            <w:r w:rsidR="00E0204F">
              <w:rPr>
                <w:b/>
                <w:bCs/>
              </w:rPr>
              <w:fldChar w:fldCharType="separate"/>
            </w:r>
            <w:r w:rsidR="00E0204F">
              <w:rPr>
                <w:b/>
                <w:bCs/>
                <w:noProof/>
              </w:rPr>
              <w:t>2</w:t>
            </w:r>
            <w:r w:rsidR="00E0204F">
              <w:rPr>
                <w:b/>
                <w:bCs/>
              </w:rPr>
              <w:fldChar w:fldCharType="end"/>
            </w:r>
            <w:r w:rsidR="00E0204F">
              <w:t xml:space="preserve"> of </w:t>
            </w:r>
            <w:r w:rsidR="00E0204F">
              <w:rPr>
                <w:b/>
                <w:bCs/>
              </w:rPr>
              <w:fldChar w:fldCharType="begin"/>
            </w:r>
            <w:r w:rsidR="00E0204F">
              <w:rPr>
                <w:b/>
                <w:bCs/>
              </w:rPr>
              <w:instrText xml:space="preserve"> NUMPAGES  </w:instrText>
            </w:r>
            <w:r w:rsidR="00E0204F">
              <w:rPr>
                <w:b/>
                <w:bCs/>
              </w:rPr>
              <w:fldChar w:fldCharType="separate"/>
            </w:r>
            <w:r w:rsidR="00E0204F">
              <w:rPr>
                <w:b/>
                <w:bCs/>
                <w:noProof/>
              </w:rPr>
              <w:t>2</w:t>
            </w:r>
            <w:r w:rsidR="00E0204F">
              <w:rPr>
                <w:b/>
                <w:bCs/>
              </w:rPr>
              <w:fldChar w:fldCharType="end"/>
            </w:r>
          </w:sdtContent>
        </w:sdt>
      </w:sdtContent>
    </w:sdt>
    <w:r w:rsidR="00C7712C" w:rsidRPr="00C7712C">
      <w:rPr>
        <w:rStyle w:val="s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D1DE6" w14:textId="77777777" w:rsidR="009F01C2" w:rsidRDefault="009F01C2" w:rsidP="002118B8">
      <w:pPr>
        <w:spacing w:after="0" w:line="240" w:lineRule="auto"/>
      </w:pPr>
      <w:r>
        <w:separator/>
      </w:r>
    </w:p>
  </w:footnote>
  <w:footnote w:type="continuationSeparator" w:id="0">
    <w:p w14:paraId="1A9C4AD2" w14:textId="77777777" w:rsidR="009F01C2" w:rsidRDefault="009F01C2" w:rsidP="002118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7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C56F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F113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E24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F66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65CF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F552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4444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736F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16164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3044ED"/>
    <w:multiLevelType w:val="multilevel"/>
    <w:tmpl w:val="FFFFFFFF"/>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860E98"/>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1732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D32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857B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B66C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E07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B65D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F55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063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C0701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A459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F751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D23C4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D8246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C850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21A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FC66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8278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C566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CF1E4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D873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A342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5D22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1022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2F57CD"/>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7A74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D73B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639180">
    <w:abstractNumId w:val="22"/>
  </w:num>
  <w:num w:numId="2" w16cid:durableId="362244615">
    <w:abstractNumId w:val="13"/>
  </w:num>
  <w:num w:numId="3" w16cid:durableId="1588730573">
    <w:abstractNumId w:val="29"/>
  </w:num>
  <w:num w:numId="4" w16cid:durableId="1234196820">
    <w:abstractNumId w:val="24"/>
  </w:num>
  <w:num w:numId="5" w16cid:durableId="1597054114">
    <w:abstractNumId w:val="21"/>
  </w:num>
  <w:num w:numId="6" w16cid:durableId="1579288948">
    <w:abstractNumId w:val="6"/>
  </w:num>
  <w:num w:numId="7" w16cid:durableId="800416661">
    <w:abstractNumId w:val="31"/>
  </w:num>
  <w:num w:numId="8" w16cid:durableId="373040237">
    <w:abstractNumId w:val="8"/>
  </w:num>
  <w:num w:numId="9" w16cid:durableId="1326593552">
    <w:abstractNumId w:val="5"/>
  </w:num>
  <w:num w:numId="10" w16cid:durableId="2146850131">
    <w:abstractNumId w:val="18"/>
  </w:num>
  <w:num w:numId="11" w16cid:durableId="1107656423">
    <w:abstractNumId w:val="3"/>
  </w:num>
  <w:num w:numId="12" w16cid:durableId="1719091748">
    <w:abstractNumId w:val="27"/>
  </w:num>
  <w:num w:numId="13" w16cid:durableId="542255649">
    <w:abstractNumId w:val="19"/>
  </w:num>
  <w:num w:numId="14" w16cid:durableId="1019509477">
    <w:abstractNumId w:val="36"/>
  </w:num>
  <w:num w:numId="15" w16cid:durableId="1472284921">
    <w:abstractNumId w:val="2"/>
  </w:num>
  <w:num w:numId="16" w16cid:durableId="1915429858">
    <w:abstractNumId w:val="25"/>
  </w:num>
  <w:num w:numId="17" w16cid:durableId="354313266">
    <w:abstractNumId w:val="30"/>
  </w:num>
  <w:num w:numId="18" w16cid:durableId="1908609373">
    <w:abstractNumId w:val="7"/>
  </w:num>
  <w:num w:numId="19" w16cid:durableId="205796276">
    <w:abstractNumId w:val="26"/>
  </w:num>
  <w:num w:numId="20" w16cid:durableId="1129324984">
    <w:abstractNumId w:val="15"/>
  </w:num>
  <w:num w:numId="21" w16cid:durableId="1163593176">
    <w:abstractNumId w:val="37"/>
  </w:num>
  <w:num w:numId="22" w16cid:durableId="827018035">
    <w:abstractNumId w:val="28"/>
  </w:num>
  <w:num w:numId="23" w16cid:durableId="849636825">
    <w:abstractNumId w:val="14"/>
  </w:num>
  <w:num w:numId="24" w16cid:durableId="419058386">
    <w:abstractNumId w:val="33"/>
  </w:num>
  <w:num w:numId="25" w16cid:durableId="322199649">
    <w:abstractNumId w:val="4"/>
  </w:num>
  <w:num w:numId="26" w16cid:durableId="1003163983">
    <w:abstractNumId w:val="17"/>
  </w:num>
  <w:num w:numId="27" w16cid:durableId="1269242624">
    <w:abstractNumId w:val="12"/>
  </w:num>
  <w:num w:numId="28" w16cid:durableId="1271164511">
    <w:abstractNumId w:val="0"/>
  </w:num>
  <w:num w:numId="29" w16cid:durableId="2138790262">
    <w:abstractNumId w:val="16"/>
  </w:num>
  <w:num w:numId="30" w16cid:durableId="1704355499">
    <w:abstractNumId w:val="20"/>
  </w:num>
  <w:num w:numId="31" w16cid:durableId="363138583">
    <w:abstractNumId w:val="35"/>
  </w:num>
  <w:num w:numId="32" w16cid:durableId="385644662">
    <w:abstractNumId w:val="11"/>
  </w:num>
  <w:num w:numId="33" w16cid:durableId="1848054586">
    <w:abstractNumId w:val="10"/>
  </w:num>
  <w:num w:numId="34" w16cid:durableId="294458440">
    <w:abstractNumId w:val="32"/>
  </w:num>
  <w:num w:numId="35" w16cid:durableId="1653022838">
    <w:abstractNumId w:val="23"/>
  </w:num>
  <w:num w:numId="36" w16cid:durableId="26175985">
    <w:abstractNumId w:val="34"/>
  </w:num>
  <w:num w:numId="37" w16cid:durableId="723675687">
    <w:abstractNumId w:val="1"/>
  </w:num>
  <w:num w:numId="38" w16cid:durableId="5778605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8A3"/>
    <w:rsid w:val="00003FF8"/>
    <w:rsid w:val="0001348F"/>
    <w:rsid w:val="00013F12"/>
    <w:rsid w:val="0003328C"/>
    <w:rsid w:val="00054392"/>
    <w:rsid w:val="000557E5"/>
    <w:rsid w:val="0006799D"/>
    <w:rsid w:val="00074740"/>
    <w:rsid w:val="00086B1D"/>
    <w:rsid w:val="000C2A09"/>
    <w:rsid w:val="000C3944"/>
    <w:rsid w:val="000C50C5"/>
    <w:rsid w:val="000E106F"/>
    <w:rsid w:val="000E1148"/>
    <w:rsid w:val="000E3C39"/>
    <w:rsid w:val="000E77C5"/>
    <w:rsid w:val="000F29FC"/>
    <w:rsid w:val="00102916"/>
    <w:rsid w:val="00120523"/>
    <w:rsid w:val="001317DD"/>
    <w:rsid w:val="00132CC4"/>
    <w:rsid w:val="0013635A"/>
    <w:rsid w:val="00137DFE"/>
    <w:rsid w:val="0014177B"/>
    <w:rsid w:val="001463A6"/>
    <w:rsid w:val="00146828"/>
    <w:rsid w:val="00157810"/>
    <w:rsid w:val="0017573F"/>
    <w:rsid w:val="001764A8"/>
    <w:rsid w:val="00181FBD"/>
    <w:rsid w:val="0019284F"/>
    <w:rsid w:val="00193DF4"/>
    <w:rsid w:val="001B34C1"/>
    <w:rsid w:val="001C1FBA"/>
    <w:rsid w:val="001D1434"/>
    <w:rsid w:val="001F7BEB"/>
    <w:rsid w:val="001F7F3B"/>
    <w:rsid w:val="00200D09"/>
    <w:rsid w:val="002022F1"/>
    <w:rsid w:val="002118B8"/>
    <w:rsid w:val="0022352C"/>
    <w:rsid w:val="0023468B"/>
    <w:rsid w:val="002412A8"/>
    <w:rsid w:val="0025436F"/>
    <w:rsid w:val="002607E6"/>
    <w:rsid w:val="00280081"/>
    <w:rsid w:val="0028012A"/>
    <w:rsid w:val="002804BD"/>
    <w:rsid w:val="00282C39"/>
    <w:rsid w:val="00290FC2"/>
    <w:rsid w:val="0029772C"/>
    <w:rsid w:val="002B21D7"/>
    <w:rsid w:val="002B37C4"/>
    <w:rsid w:val="002B67BB"/>
    <w:rsid w:val="002D2F43"/>
    <w:rsid w:val="002D6092"/>
    <w:rsid w:val="002E1543"/>
    <w:rsid w:val="002E1645"/>
    <w:rsid w:val="002E552C"/>
    <w:rsid w:val="003044E8"/>
    <w:rsid w:val="00315564"/>
    <w:rsid w:val="003155CC"/>
    <w:rsid w:val="003178DA"/>
    <w:rsid w:val="00320A22"/>
    <w:rsid w:val="00322F70"/>
    <w:rsid w:val="003249AD"/>
    <w:rsid w:val="00333FDB"/>
    <w:rsid w:val="00335C8D"/>
    <w:rsid w:val="003407D1"/>
    <w:rsid w:val="00345D62"/>
    <w:rsid w:val="00350645"/>
    <w:rsid w:val="00352711"/>
    <w:rsid w:val="003642C0"/>
    <w:rsid w:val="003656FD"/>
    <w:rsid w:val="00381B6D"/>
    <w:rsid w:val="0038422E"/>
    <w:rsid w:val="003979EE"/>
    <w:rsid w:val="003F23DD"/>
    <w:rsid w:val="003F599D"/>
    <w:rsid w:val="0040296E"/>
    <w:rsid w:val="00403433"/>
    <w:rsid w:val="00403779"/>
    <w:rsid w:val="00425D89"/>
    <w:rsid w:val="00426605"/>
    <w:rsid w:val="00431801"/>
    <w:rsid w:val="004373B9"/>
    <w:rsid w:val="00452A78"/>
    <w:rsid w:val="00461639"/>
    <w:rsid w:val="0046238D"/>
    <w:rsid w:val="0046434A"/>
    <w:rsid w:val="00466E91"/>
    <w:rsid w:val="004706AF"/>
    <w:rsid w:val="00477C84"/>
    <w:rsid w:val="0048294D"/>
    <w:rsid w:val="00493CA6"/>
    <w:rsid w:val="004A0CD0"/>
    <w:rsid w:val="004C0684"/>
    <w:rsid w:val="004E0AF3"/>
    <w:rsid w:val="004E1DB3"/>
    <w:rsid w:val="004E3664"/>
    <w:rsid w:val="004E5481"/>
    <w:rsid w:val="004F6591"/>
    <w:rsid w:val="004F6C25"/>
    <w:rsid w:val="0051430A"/>
    <w:rsid w:val="00520AFF"/>
    <w:rsid w:val="00532245"/>
    <w:rsid w:val="00533634"/>
    <w:rsid w:val="00543079"/>
    <w:rsid w:val="0054446C"/>
    <w:rsid w:val="00546673"/>
    <w:rsid w:val="005526D6"/>
    <w:rsid w:val="005534B8"/>
    <w:rsid w:val="00563F23"/>
    <w:rsid w:val="00573F24"/>
    <w:rsid w:val="00576C39"/>
    <w:rsid w:val="00581E6B"/>
    <w:rsid w:val="00587E14"/>
    <w:rsid w:val="0059182D"/>
    <w:rsid w:val="005C538E"/>
    <w:rsid w:val="005D428D"/>
    <w:rsid w:val="005F5944"/>
    <w:rsid w:val="0060412B"/>
    <w:rsid w:val="006050EC"/>
    <w:rsid w:val="00606D79"/>
    <w:rsid w:val="0061586E"/>
    <w:rsid w:val="00616AC0"/>
    <w:rsid w:val="00622459"/>
    <w:rsid w:val="0062412C"/>
    <w:rsid w:val="00633127"/>
    <w:rsid w:val="0063477A"/>
    <w:rsid w:val="006417F7"/>
    <w:rsid w:val="00647C86"/>
    <w:rsid w:val="00662FB7"/>
    <w:rsid w:val="0067322F"/>
    <w:rsid w:val="006745F5"/>
    <w:rsid w:val="00676F70"/>
    <w:rsid w:val="00677002"/>
    <w:rsid w:val="006C2D30"/>
    <w:rsid w:val="006D5A00"/>
    <w:rsid w:val="006F40BB"/>
    <w:rsid w:val="0070737E"/>
    <w:rsid w:val="00710BD6"/>
    <w:rsid w:val="00712720"/>
    <w:rsid w:val="007148A3"/>
    <w:rsid w:val="00715287"/>
    <w:rsid w:val="00715C2C"/>
    <w:rsid w:val="00717C5D"/>
    <w:rsid w:val="007234B0"/>
    <w:rsid w:val="0074155C"/>
    <w:rsid w:val="007419BC"/>
    <w:rsid w:val="00747D4D"/>
    <w:rsid w:val="007643F5"/>
    <w:rsid w:val="007661FA"/>
    <w:rsid w:val="0077224A"/>
    <w:rsid w:val="00780359"/>
    <w:rsid w:val="00786FEC"/>
    <w:rsid w:val="0079302E"/>
    <w:rsid w:val="007B3BAD"/>
    <w:rsid w:val="007C1B2B"/>
    <w:rsid w:val="007D64F5"/>
    <w:rsid w:val="007D72F6"/>
    <w:rsid w:val="007E420F"/>
    <w:rsid w:val="007E68D9"/>
    <w:rsid w:val="007F67E1"/>
    <w:rsid w:val="00802B30"/>
    <w:rsid w:val="00810759"/>
    <w:rsid w:val="00810FCA"/>
    <w:rsid w:val="008332B5"/>
    <w:rsid w:val="00843540"/>
    <w:rsid w:val="00860203"/>
    <w:rsid w:val="0086564E"/>
    <w:rsid w:val="00872952"/>
    <w:rsid w:val="00876EB4"/>
    <w:rsid w:val="0087737E"/>
    <w:rsid w:val="008968D2"/>
    <w:rsid w:val="00897D8C"/>
    <w:rsid w:val="008B293E"/>
    <w:rsid w:val="008B7EAB"/>
    <w:rsid w:val="008C5E1C"/>
    <w:rsid w:val="008D32C5"/>
    <w:rsid w:val="008F2117"/>
    <w:rsid w:val="009050E3"/>
    <w:rsid w:val="009158DF"/>
    <w:rsid w:val="009242C8"/>
    <w:rsid w:val="00924BA3"/>
    <w:rsid w:val="00926327"/>
    <w:rsid w:val="00940F0E"/>
    <w:rsid w:val="00943AC6"/>
    <w:rsid w:val="0095126D"/>
    <w:rsid w:val="00957352"/>
    <w:rsid w:val="00962850"/>
    <w:rsid w:val="00967046"/>
    <w:rsid w:val="00972F62"/>
    <w:rsid w:val="00977CA1"/>
    <w:rsid w:val="00980D9B"/>
    <w:rsid w:val="009A5E72"/>
    <w:rsid w:val="009E2014"/>
    <w:rsid w:val="009E34CF"/>
    <w:rsid w:val="009E3C2C"/>
    <w:rsid w:val="009F01C2"/>
    <w:rsid w:val="00A00742"/>
    <w:rsid w:val="00A05483"/>
    <w:rsid w:val="00A11941"/>
    <w:rsid w:val="00A12887"/>
    <w:rsid w:val="00A42559"/>
    <w:rsid w:val="00A42D38"/>
    <w:rsid w:val="00A447B2"/>
    <w:rsid w:val="00A55C40"/>
    <w:rsid w:val="00A5650F"/>
    <w:rsid w:val="00A638E9"/>
    <w:rsid w:val="00A72D58"/>
    <w:rsid w:val="00A76E5F"/>
    <w:rsid w:val="00A96391"/>
    <w:rsid w:val="00AA194A"/>
    <w:rsid w:val="00AB5B56"/>
    <w:rsid w:val="00AE407F"/>
    <w:rsid w:val="00AE4614"/>
    <w:rsid w:val="00AE4DAF"/>
    <w:rsid w:val="00AF1E26"/>
    <w:rsid w:val="00B03A19"/>
    <w:rsid w:val="00B2007C"/>
    <w:rsid w:val="00B222D6"/>
    <w:rsid w:val="00B22B10"/>
    <w:rsid w:val="00B2558F"/>
    <w:rsid w:val="00B259BD"/>
    <w:rsid w:val="00B32C52"/>
    <w:rsid w:val="00B34EDB"/>
    <w:rsid w:val="00B375AB"/>
    <w:rsid w:val="00B51BCF"/>
    <w:rsid w:val="00B73115"/>
    <w:rsid w:val="00BC1981"/>
    <w:rsid w:val="00BD1A0F"/>
    <w:rsid w:val="00BE2E29"/>
    <w:rsid w:val="00BE314A"/>
    <w:rsid w:val="00BF5E75"/>
    <w:rsid w:val="00C06632"/>
    <w:rsid w:val="00C16273"/>
    <w:rsid w:val="00C250E0"/>
    <w:rsid w:val="00C52C54"/>
    <w:rsid w:val="00C73142"/>
    <w:rsid w:val="00C7712C"/>
    <w:rsid w:val="00C912AB"/>
    <w:rsid w:val="00C93676"/>
    <w:rsid w:val="00CA1B6C"/>
    <w:rsid w:val="00CA5811"/>
    <w:rsid w:val="00CC0CBF"/>
    <w:rsid w:val="00CC1BB0"/>
    <w:rsid w:val="00CD0186"/>
    <w:rsid w:val="00CD226F"/>
    <w:rsid w:val="00CD5A26"/>
    <w:rsid w:val="00CD63C4"/>
    <w:rsid w:val="00CD7B5C"/>
    <w:rsid w:val="00CD7F3C"/>
    <w:rsid w:val="00CF5DF5"/>
    <w:rsid w:val="00D131B2"/>
    <w:rsid w:val="00D14286"/>
    <w:rsid w:val="00D266EA"/>
    <w:rsid w:val="00D348C4"/>
    <w:rsid w:val="00D355ED"/>
    <w:rsid w:val="00D35DCB"/>
    <w:rsid w:val="00D4755A"/>
    <w:rsid w:val="00D50AF5"/>
    <w:rsid w:val="00D53266"/>
    <w:rsid w:val="00D554CD"/>
    <w:rsid w:val="00D567C9"/>
    <w:rsid w:val="00D846DC"/>
    <w:rsid w:val="00D865AF"/>
    <w:rsid w:val="00DA1F2C"/>
    <w:rsid w:val="00DA6764"/>
    <w:rsid w:val="00DB0957"/>
    <w:rsid w:val="00DD50EC"/>
    <w:rsid w:val="00DE7DC1"/>
    <w:rsid w:val="00DF277D"/>
    <w:rsid w:val="00E0204F"/>
    <w:rsid w:val="00E13EC7"/>
    <w:rsid w:val="00E2060A"/>
    <w:rsid w:val="00E24597"/>
    <w:rsid w:val="00E45C09"/>
    <w:rsid w:val="00E546B1"/>
    <w:rsid w:val="00E55BFA"/>
    <w:rsid w:val="00E67F56"/>
    <w:rsid w:val="00EA45E9"/>
    <w:rsid w:val="00EB0FF3"/>
    <w:rsid w:val="00EC1A2A"/>
    <w:rsid w:val="00ED2E2E"/>
    <w:rsid w:val="00EE0BA8"/>
    <w:rsid w:val="00EE77F2"/>
    <w:rsid w:val="00EF1748"/>
    <w:rsid w:val="00EF3DD6"/>
    <w:rsid w:val="00EF540D"/>
    <w:rsid w:val="00F15B83"/>
    <w:rsid w:val="00F21592"/>
    <w:rsid w:val="00F2409B"/>
    <w:rsid w:val="00F25119"/>
    <w:rsid w:val="00F311A0"/>
    <w:rsid w:val="00F45C23"/>
    <w:rsid w:val="00F473F4"/>
    <w:rsid w:val="00F51238"/>
    <w:rsid w:val="00F55733"/>
    <w:rsid w:val="00F64D2B"/>
    <w:rsid w:val="00F800CB"/>
    <w:rsid w:val="00F81D63"/>
    <w:rsid w:val="00F877D3"/>
    <w:rsid w:val="00FA19B9"/>
    <w:rsid w:val="00FC04EB"/>
    <w:rsid w:val="00FC188A"/>
    <w:rsid w:val="00FC2EB2"/>
    <w:rsid w:val="00FD2411"/>
    <w:rsid w:val="00FE02BA"/>
    <w:rsid w:val="00FE40F9"/>
    <w:rsid w:val="00FE481F"/>
    <w:rsid w:val="00FF1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2255E"/>
  <w15:chartTrackingRefBased/>
  <w15:docId w15:val="{81C0B182-A123-6742-8672-F9498EC7F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4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4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14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8A3"/>
    <w:rPr>
      <w:rFonts w:eastAsiaTheme="majorEastAsia" w:cstheme="majorBidi"/>
      <w:color w:val="272727" w:themeColor="text1" w:themeTint="D8"/>
    </w:rPr>
  </w:style>
  <w:style w:type="paragraph" w:styleId="Title">
    <w:name w:val="Title"/>
    <w:basedOn w:val="Normal"/>
    <w:next w:val="Normal"/>
    <w:link w:val="TitleChar"/>
    <w:uiPriority w:val="10"/>
    <w:qFormat/>
    <w:rsid w:val="00714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8A3"/>
    <w:pPr>
      <w:spacing w:before="160"/>
      <w:jc w:val="center"/>
    </w:pPr>
    <w:rPr>
      <w:i/>
      <w:iCs/>
      <w:color w:val="404040" w:themeColor="text1" w:themeTint="BF"/>
    </w:rPr>
  </w:style>
  <w:style w:type="character" w:customStyle="1" w:styleId="QuoteChar">
    <w:name w:val="Quote Char"/>
    <w:basedOn w:val="DefaultParagraphFont"/>
    <w:link w:val="Quote"/>
    <w:uiPriority w:val="29"/>
    <w:rsid w:val="007148A3"/>
    <w:rPr>
      <w:i/>
      <w:iCs/>
      <w:color w:val="404040" w:themeColor="text1" w:themeTint="BF"/>
    </w:rPr>
  </w:style>
  <w:style w:type="paragraph" w:styleId="ListParagraph">
    <w:name w:val="List Paragraph"/>
    <w:basedOn w:val="Normal"/>
    <w:uiPriority w:val="34"/>
    <w:qFormat/>
    <w:rsid w:val="007148A3"/>
    <w:pPr>
      <w:ind w:left="720"/>
      <w:contextualSpacing/>
    </w:pPr>
  </w:style>
  <w:style w:type="character" w:styleId="IntenseEmphasis">
    <w:name w:val="Intense Emphasis"/>
    <w:basedOn w:val="DefaultParagraphFont"/>
    <w:uiPriority w:val="21"/>
    <w:qFormat/>
    <w:rsid w:val="007148A3"/>
    <w:rPr>
      <w:i/>
      <w:iCs/>
      <w:color w:val="0F4761" w:themeColor="accent1" w:themeShade="BF"/>
    </w:rPr>
  </w:style>
  <w:style w:type="paragraph" w:styleId="IntenseQuote">
    <w:name w:val="Intense Quote"/>
    <w:basedOn w:val="Normal"/>
    <w:next w:val="Normal"/>
    <w:link w:val="IntenseQuoteChar"/>
    <w:uiPriority w:val="30"/>
    <w:qFormat/>
    <w:rsid w:val="00714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8A3"/>
    <w:rPr>
      <w:i/>
      <w:iCs/>
      <w:color w:val="0F4761" w:themeColor="accent1" w:themeShade="BF"/>
    </w:rPr>
  </w:style>
  <w:style w:type="character" w:styleId="IntenseReference">
    <w:name w:val="Intense Reference"/>
    <w:basedOn w:val="DefaultParagraphFont"/>
    <w:uiPriority w:val="32"/>
    <w:qFormat/>
    <w:rsid w:val="007148A3"/>
    <w:rPr>
      <w:b/>
      <w:bCs/>
      <w:smallCaps/>
      <w:color w:val="0F4761" w:themeColor="accent1" w:themeShade="BF"/>
      <w:spacing w:val="5"/>
    </w:rPr>
  </w:style>
  <w:style w:type="paragraph" w:customStyle="1" w:styleId="p1">
    <w:name w:val="p1"/>
    <w:basedOn w:val="Normal"/>
    <w:rsid w:val="007148A3"/>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7148A3"/>
  </w:style>
  <w:style w:type="character" w:customStyle="1" w:styleId="s2">
    <w:name w:val="s2"/>
    <w:basedOn w:val="DefaultParagraphFont"/>
    <w:rsid w:val="007148A3"/>
  </w:style>
  <w:style w:type="paragraph" w:customStyle="1" w:styleId="p2">
    <w:name w:val="p2"/>
    <w:basedOn w:val="Normal"/>
    <w:rsid w:val="007148A3"/>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7148A3"/>
  </w:style>
  <w:style w:type="character" w:customStyle="1" w:styleId="s4">
    <w:name w:val="s4"/>
    <w:basedOn w:val="DefaultParagraphFont"/>
    <w:rsid w:val="007148A3"/>
  </w:style>
  <w:style w:type="character" w:styleId="Hyperlink">
    <w:name w:val="Hyperlink"/>
    <w:basedOn w:val="DefaultParagraphFont"/>
    <w:uiPriority w:val="99"/>
    <w:unhideWhenUsed/>
    <w:rsid w:val="007148A3"/>
    <w:rPr>
      <w:color w:val="0000FF"/>
      <w:u w:val="single"/>
    </w:rPr>
  </w:style>
  <w:style w:type="paragraph" w:styleId="Header">
    <w:name w:val="header"/>
    <w:basedOn w:val="Normal"/>
    <w:link w:val="HeaderChar"/>
    <w:uiPriority w:val="99"/>
    <w:unhideWhenUsed/>
    <w:rsid w:val="002118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18B8"/>
  </w:style>
  <w:style w:type="paragraph" w:styleId="Footer">
    <w:name w:val="footer"/>
    <w:basedOn w:val="Normal"/>
    <w:link w:val="FooterChar"/>
    <w:uiPriority w:val="99"/>
    <w:unhideWhenUsed/>
    <w:rsid w:val="002118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18B8"/>
  </w:style>
  <w:style w:type="paragraph" w:customStyle="1" w:styleId="p3">
    <w:name w:val="p3"/>
    <w:basedOn w:val="Normal"/>
    <w:rsid w:val="005534B8"/>
    <w:pPr>
      <w:spacing w:before="100" w:beforeAutospacing="1" w:after="100" w:afterAutospacing="1" w:line="240" w:lineRule="auto"/>
    </w:pPr>
    <w:rPr>
      <w:rFonts w:ascii="Times New Roman" w:hAnsi="Times New Roman" w:cs="Times New Roman"/>
      <w:kern w:val="0"/>
      <w14:ligatures w14:val="none"/>
    </w:rPr>
  </w:style>
  <w:style w:type="character" w:styleId="UnresolvedMention">
    <w:name w:val="Unresolved Mention"/>
    <w:basedOn w:val="DefaultParagraphFont"/>
    <w:uiPriority w:val="99"/>
    <w:semiHidden/>
    <w:unhideWhenUsed/>
    <w:rsid w:val="004F65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444">
      <w:bodyDiv w:val="1"/>
      <w:marLeft w:val="0"/>
      <w:marRight w:val="0"/>
      <w:marTop w:val="0"/>
      <w:marBottom w:val="0"/>
      <w:divBdr>
        <w:top w:val="none" w:sz="0" w:space="0" w:color="auto"/>
        <w:left w:val="none" w:sz="0" w:space="0" w:color="auto"/>
        <w:bottom w:val="none" w:sz="0" w:space="0" w:color="auto"/>
        <w:right w:val="none" w:sz="0" w:space="0" w:color="auto"/>
      </w:divBdr>
    </w:div>
    <w:div w:id="16396486">
      <w:bodyDiv w:val="1"/>
      <w:marLeft w:val="0"/>
      <w:marRight w:val="0"/>
      <w:marTop w:val="0"/>
      <w:marBottom w:val="0"/>
      <w:divBdr>
        <w:top w:val="none" w:sz="0" w:space="0" w:color="auto"/>
        <w:left w:val="none" w:sz="0" w:space="0" w:color="auto"/>
        <w:bottom w:val="none" w:sz="0" w:space="0" w:color="auto"/>
        <w:right w:val="none" w:sz="0" w:space="0" w:color="auto"/>
      </w:divBdr>
    </w:div>
    <w:div w:id="20591955">
      <w:bodyDiv w:val="1"/>
      <w:marLeft w:val="0"/>
      <w:marRight w:val="0"/>
      <w:marTop w:val="0"/>
      <w:marBottom w:val="0"/>
      <w:divBdr>
        <w:top w:val="none" w:sz="0" w:space="0" w:color="auto"/>
        <w:left w:val="none" w:sz="0" w:space="0" w:color="auto"/>
        <w:bottom w:val="none" w:sz="0" w:space="0" w:color="auto"/>
        <w:right w:val="none" w:sz="0" w:space="0" w:color="auto"/>
      </w:divBdr>
    </w:div>
    <w:div w:id="163864820">
      <w:bodyDiv w:val="1"/>
      <w:marLeft w:val="0"/>
      <w:marRight w:val="0"/>
      <w:marTop w:val="0"/>
      <w:marBottom w:val="0"/>
      <w:divBdr>
        <w:top w:val="none" w:sz="0" w:space="0" w:color="auto"/>
        <w:left w:val="none" w:sz="0" w:space="0" w:color="auto"/>
        <w:bottom w:val="none" w:sz="0" w:space="0" w:color="auto"/>
        <w:right w:val="none" w:sz="0" w:space="0" w:color="auto"/>
      </w:divBdr>
      <w:divsChild>
        <w:div w:id="100033467">
          <w:marLeft w:val="0"/>
          <w:marRight w:val="0"/>
          <w:marTop w:val="0"/>
          <w:marBottom w:val="0"/>
          <w:divBdr>
            <w:top w:val="none" w:sz="0" w:space="0" w:color="auto"/>
            <w:left w:val="none" w:sz="0" w:space="0" w:color="auto"/>
            <w:bottom w:val="none" w:sz="0" w:space="0" w:color="auto"/>
            <w:right w:val="none" w:sz="0" w:space="0" w:color="auto"/>
          </w:divBdr>
        </w:div>
        <w:div w:id="386338870">
          <w:marLeft w:val="0"/>
          <w:marRight w:val="0"/>
          <w:marTop w:val="0"/>
          <w:marBottom w:val="0"/>
          <w:divBdr>
            <w:top w:val="none" w:sz="0" w:space="0" w:color="auto"/>
            <w:left w:val="none" w:sz="0" w:space="0" w:color="auto"/>
            <w:bottom w:val="none" w:sz="0" w:space="0" w:color="auto"/>
            <w:right w:val="none" w:sz="0" w:space="0" w:color="auto"/>
          </w:divBdr>
        </w:div>
        <w:div w:id="390815423">
          <w:marLeft w:val="0"/>
          <w:marRight w:val="0"/>
          <w:marTop w:val="0"/>
          <w:marBottom w:val="0"/>
          <w:divBdr>
            <w:top w:val="none" w:sz="0" w:space="0" w:color="auto"/>
            <w:left w:val="none" w:sz="0" w:space="0" w:color="auto"/>
            <w:bottom w:val="none" w:sz="0" w:space="0" w:color="auto"/>
            <w:right w:val="none" w:sz="0" w:space="0" w:color="auto"/>
          </w:divBdr>
        </w:div>
        <w:div w:id="558056305">
          <w:marLeft w:val="0"/>
          <w:marRight w:val="0"/>
          <w:marTop w:val="0"/>
          <w:marBottom w:val="0"/>
          <w:divBdr>
            <w:top w:val="none" w:sz="0" w:space="0" w:color="auto"/>
            <w:left w:val="none" w:sz="0" w:space="0" w:color="auto"/>
            <w:bottom w:val="none" w:sz="0" w:space="0" w:color="auto"/>
            <w:right w:val="none" w:sz="0" w:space="0" w:color="auto"/>
          </w:divBdr>
        </w:div>
        <w:div w:id="856847217">
          <w:marLeft w:val="0"/>
          <w:marRight w:val="0"/>
          <w:marTop w:val="0"/>
          <w:marBottom w:val="0"/>
          <w:divBdr>
            <w:top w:val="none" w:sz="0" w:space="0" w:color="auto"/>
            <w:left w:val="none" w:sz="0" w:space="0" w:color="auto"/>
            <w:bottom w:val="none" w:sz="0" w:space="0" w:color="auto"/>
            <w:right w:val="none" w:sz="0" w:space="0" w:color="auto"/>
          </w:divBdr>
        </w:div>
        <w:div w:id="888689025">
          <w:marLeft w:val="0"/>
          <w:marRight w:val="0"/>
          <w:marTop w:val="0"/>
          <w:marBottom w:val="0"/>
          <w:divBdr>
            <w:top w:val="none" w:sz="0" w:space="0" w:color="auto"/>
            <w:left w:val="none" w:sz="0" w:space="0" w:color="auto"/>
            <w:bottom w:val="none" w:sz="0" w:space="0" w:color="auto"/>
            <w:right w:val="none" w:sz="0" w:space="0" w:color="auto"/>
          </w:divBdr>
        </w:div>
        <w:div w:id="907375823">
          <w:marLeft w:val="0"/>
          <w:marRight w:val="0"/>
          <w:marTop w:val="0"/>
          <w:marBottom w:val="0"/>
          <w:divBdr>
            <w:top w:val="none" w:sz="0" w:space="0" w:color="auto"/>
            <w:left w:val="none" w:sz="0" w:space="0" w:color="auto"/>
            <w:bottom w:val="none" w:sz="0" w:space="0" w:color="auto"/>
            <w:right w:val="none" w:sz="0" w:space="0" w:color="auto"/>
          </w:divBdr>
        </w:div>
        <w:div w:id="1039548867">
          <w:marLeft w:val="0"/>
          <w:marRight w:val="0"/>
          <w:marTop w:val="0"/>
          <w:marBottom w:val="0"/>
          <w:divBdr>
            <w:top w:val="none" w:sz="0" w:space="0" w:color="auto"/>
            <w:left w:val="none" w:sz="0" w:space="0" w:color="auto"/>
            <w:bottom w:val="none" w:sz="0" w:space="0" w:color="auto"/>
            <w:right w:val="none" w:sz="0" w:space="0" w:color="auto"/>
          </w:divBdr>
        </w:div>
        <w:div w:id="1344015762">
          <w:marLeft w:val="0"/>
          <w:marRight w:val="0"/>
          <w:marTop w:val="0"/>
          <w:marBottom w:val="0"/>
          <w:divBdr>
            <w:top w:val="none" w:sz="0" w:space="0" w:color="auto"/>
            <w:left w:val="none" w:sz="0" w:space="0" w:color="auto"/>
            <w:bottom w:val="none" w:sz="0" w:space="0" w:color="auto"/>
            <w:right w:val="none" w:sz="0" w:space="0" w:color="auto"/>
          </w:divBdr>
        </w:div>
        <w:div w:id="1611863781">
          <w:marLeft w:val="0"/>
          <w:marRight w:val="0"/>
          <w:marTop w:val="0"/>
          <w:marBottom w:val="0"/>
          <w:divBdr>
            <w:top w:val="none" w:sz="0" w:space="0" w:color="auto"/>
            <w:left w:val="none" w:sz="0" w:space="0" w:color="auto"/>
            <w:bottom w:val="none" w:sz="0" w:space="0" w:color="auto"/>
            <w:right w:val="none" w:sz="0" w:space="0" w:color="auto"/>
          </w:divBdr>
        </w:div>
        <w:div w:id="1648893511">
          <w:marLeft w:val="0"/>
          <w:marRight w:val="0"/>
          <w:marTop w:val="0"/>
          <w:marBottom w:val="0"/>
          <w:divBdr>
            <w:top w:val="none" w:sz="0" w:space="0" w:color="auto"/>
            <w:left w:val="none" w:sz="0" w:space="0" w:color="auto"/>
            <w:bottom w:val="none" w:sz="0" w:space="0" w:color="auto"/>
            <w:right w:val="none" w:sz="0" w:space="0" w:color="auto"/>
          </w:divBdr>
        </w:div>
        <w:div w:id="1795904315">
          <w:marLeft w:val="0"/>
          <w:marRight w:val="0"/>
          <w:marTop w:val="0"/>
          <w:marBottom w:val="0"/>
          <w:divBdr>
            <w:top w:val="none" w:sz="0" w:space="0" w:color="auto"/>
            <w:left w:val="none" w:sz="0" w:space="0" w:color="auto"/>
            <w:bottom w:val="none" w:sz="0" w:space="0" w:color="auto"/>
            <w:right w:val="none" w:sz="0" w:space="0" w:color="auto"/>
          </w:divBdr>
        </w:div>
        <w:div w:id="1993946973">
          <w:marLeft w:val="0"/>
          <w:marRight w:val="0"/>
          <w:marTop w:val="0"/>
          <w:marBottom w:val="0"/>
          <w:divBdr>
            <w:top w:val="none" w:sz="0" w:space="0" w:color="auto"/>
            <w:left w:val="none" w:sz="0" w:space="0" w:color="auto"/>
            <w:bottom w:val="none" w:sz="0" w:space="0" w:color="auto"/>
            <w:right w:val="none" w:sz="0" w:space="0" w:color="auto"/>
          </w:divBdr>
        </w:div>
      </w:divsChild>
    </w:div>
    <w:div w:id="517936357">
      <w:bodyDiv w:val="1"/>
      <w:marLeft w:val="0"/>
      <w:marRight w:val="0"/>
      <w:marTop w:val="0"/>
      <w:marBottom w:val="0"/>
      <w:divBdr>
        <w:top w:val="none" w:sz="0" w:space="0" w:color="auto"/>
        <w:left w:val="none" w:sz="0" w:space="0" w:color="auto"/>
        <w:bottom w:val="none" w:sz="0" w:space="0" w:color="auto"/>
        <w:right w:val="none" w:sz="0" w:space="0" w:color="auto"/>
      </w:divBdr>
    </w:div>
    <w:div w:id="642850174">
      <w:bodyDiv w:val="1"/>
      <w:marLeft w:val="0"/>
      <w:marRight w:val="0"/>
      <w:marTop w:val="0"/>
      <w:marBottom w:val="0"/>
      <w:divBdr>
        <w:top w:val="none" w:sz="0" w:space="0" w:color="auto"/>
        <w:left w:val="none" w:sz="0" w:space="0" w:color="auto"/>
        <w:bottom w:val="none" w:sz="0" w:space="0" w:color="auto"/>
        <w:right w:val="none" w:sz="0" w:space="0" w:color="auto"/>
      </w:divBdr>
    </w:div>
    <w:div w:id="763913972">
      <w:bodyDiv w:val="1"/>
      <w:marLeft w:val="0"/>
      <w:marRight w:val="0"/>
      <w:marTop w:val="0"/>
      <w:marBottom w:val="0"/>
      <w:divBdr>
        <w:top w:val="none" w:sz="0" w:space="0" w:color="auto"/>
        <w:left w:val="none" w:sz="0" w:space="0" w:color="auto"/>
        <w:bottom w:val="none" w:sz="0" w:space="0" w:color="auto"/>
        <w:right w:val="none" w:sz="0" w:space="0" w:color="auto"/>
      </w:divBdr>
    </w:div>
    <w:div w:id="1120303936">
      <w:bodyDiv w:val="1"/>
      <w:marLeft w:val="0"/>
      <w:marRight w:val="0"/>
      <w:marTop w:val="0"/>
      <w:marBottom w:val="0"/>
      <w:divBdr>
        <w:top w:val="none" w:sz="0" w:space="0" w:color="auto"/>
        <w:left w:val="none" w:sz="0" w:space="0" w:color="auto"/>
        <w:bottom w:val="none" w:sz="0" w:space="0" w:color="auto"/>
        <w:right w:val="none" w:sz="0" w:space="0" w:color="auto"/>
      </w:divBdr>
      <w:divsChild>
        <w:div w:id="208734314">
          <w:marLeft w:val="0"/>
          <w:marRight w:val="0"/>
          <w:marTop w:val="0"/>
          <w:marBottom w:val="0"/>
          <w:divBdr>
            <w:top w:val="none" w:sz="0" w:space="0" w:color="auto"/>
            <w:left w:val="none" w:sz="0" w:space="0" w:color="auto"/>
            <w:bottom w:val="none" w:sz="0" w:space="0" w:color="auto"/>
            <w:right w:val="none" w:sz="0" w:space="0" w:color="auto"/>
          </w:divBdr>
          <w:divsChild>
            <w:div w:id="1734233554">
              <w:marLeft w:val="0"/>
              <w:marRight w:val="0"/>
              <w:marTop w:val="0"/>
              <w:marBottom w:val="0"/>
              <w:divBdr>
                <w:top w:val="none" w:sz="0" w:space="0" w:color="auto"/>
                <w:left w:val="none" w:sz="0" w:space="0" w:color="auto"/>
                <w:bottom w:val="none" w:sz="0" w:space="0" w:color="auto"/>
                <w:right w:val="none" w:sz="0" w:space="0" w:color="auto"/>
              </w:divBdr>
            </w:div>
          </w:divsChild>
        </w:div>
        <w:div w:id="311297823">
          <w:marLeft w:val="0"/>
          <w:marRight w:val="0"/>
          <w:marTop w:val="0"/>
          <w:marBottom w:val="0"/>
          <w:divBdr>
            <w:top w:val="none" w:sz="0" w:space="0" w:color="auto"/>
            <w:left w:val="none" w:sz="0" w:space="0" w:color="auto"/>
            <w:bottom w:val="none" w:sz="0" w:space="0" w:color="auto"/>
            <w:right w:val="none" w:sz="0" w:space="0" w:color="auto"/>
          </w:divBdr>
          <w:divsChild>
            <w:div w:id="204681272">
              <w:marLeft w:val="0"/>
              <w:marRight w:val="0"/>
              <w:marTop w:val="0"/>
              <w:marBottom w:val="0"/>
              <w:divBdr>
                <w:top w:val="none" w:sz="0" w:space="0" w:color="auto"/>
                <w:left w:val="none" w:sz="0" w:space="0" w:color="auto"/>
                <w:bottom w:val="none" w:sz="0" w:space="0" w:color="auto"/>
                <w:right w:val="none" w:sz="0" w:space="0" w:color="auto"/>
              </w:divBdr>
              <w:divsChild>
                <w:div w:id="11576482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06708512">
              <w:marLeft w:val="0"/>
              <w:marRight w:val="0"/>
              <w:marTop w:val="0"/>
              <w:marBottom w:val="0"/>
              <w:divBdr>
                <w:top w:val="none" w:sz="0" w:space="0" w:color="auto"/>
                <w:left w:val="none" w:sz="0" w:space="0" w:color="auto"/>
                <w:bottom w:val="none" w:sz="0" w:space="0" w:color="auto"/>
                <w:right w:val="none" w:sz="0" w:space="0" w:color="auto"/>
              </w:divBdr>
              <w:divsChild>
                <w:div w:id="18440098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45637293">
              <w:marLeft w:val="0"/>
              <w:marRight w:val="0"/>
              <w:marTop w:val="0"/>
              <w:marBottom w:val="0"/>
              <w:divBdr>
                <w:top w:val="none" w:sz="0" w:space="0" w:color="auto"/>
                <w:left w:val="none" w:sz="0" w:space="0" w:color="auto"/>
                <w:bottom w:val="none" w:sz="0" w:space="0" w:color="auto"/>
                <w:right w:val="none" w:sz="0" w:space="0" w:color="auto"/>
              </w:divBdr>
              <w:divsChild>
                <w:div w:id="1065568896">
                  <w:blockQuote w:val="1"/>
                  <w:marLeft w:val="225"/>
                  <w:marRight w:val="0"/>
                  <w:marTop w:val="0"/>
                  <w:marBottom w:val="0"/>
                  <w:divBdr>
                    <w:top w:val="none" w:sz="0" w:space="0" w:color="auto"/>
                    <w:left w:val="none" w:sz="0" w:space="0" w:color="auto"/>
                    <w:bottom w:val="none" w:sz="0" w:space="0" w:color="auto"/>
                    <w:right w:val="none" w:sz="0" w:space="0" w:color="auto"/>
                  </w:divBdr>
                </w:div>
                <w:div w:id="19088038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05670161">
              <w:marLeft w:val="0"/>
              <w:marRight w:val="0"/>
              <w:marTop w:val="0"/>
              <w:marBottom w:val="0"/>
              <w:divBdr>
                <w:top w:val="none" w:sz="0" w:space="0" w:color="auto"/>
                <w:left w:val="none" w:sz="0" w:space="0" w:color="auto"/>
                <w:bottom w:val="none" w:sz="0" w:space="0" w:color="auto"/>
                <w:right w:val="none" w:sz="0" w:space="0" w:color="auto"/>
              </w:divBdr>
              <w:divsChild>
                <w:div w:id="1124812927">
                  <w:blockQuote w:val="1"/>
                  <w:marLeft w:val="225"/>
                  <w:marRight w:val="0"/>
                  <w:marTop w:val="0"/>
                  <w:marBottom w:val="0"/>
                  <w:divBdr>
                    <w:top w:val="none" w:sz="0" w:space="0" w:color="auto"/>
                    <w:left w:val="none" w:sz="0" w:space="0" w:color="auto"/>
                    <w:bottom w:val="none" w:sz="0" w:space="0" w:color="auto"/>
                    <w:right w:val="none" w:sz="0" w:space="0" w:color="auto"/>
                  </w:divBdr>
                </w:div>
                <w:div w:id="18375272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9329280">
              <w:marLeft w:val="0"/>
              <w:marRight w:val="0"/>
              <w:marTop w:val="0"/>
              <w:marBottom w:val="0"/>
              <w:divBdr>
                <w:top w:val="none" w:sz="0" w:space="0" w:color="auto"/>
                <w:left w:val="none" w:sz="0" w:space="0" w:color="auto"/>
                <w:bottom w:val="none" w:sz="0" w:space="0" w:color="auto"/>
                <w:right w:val="none" w:sz="0" w:space="0" w:color="auto"/>
              </w:divBdr>
              <w:divsChild>
                <w:div w:id="5231340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0784133">
              <w:marLeft w:val="0"/>
              <w:marRight w:val="0"/>
              <w:marTop w:val="0"/>
              <w:marBottom w:val="0"/>
              <w:divBdr>
                <w:top w:val="none" w:sz="0" w:space="0" w:color="auto"/>
                <w:left w:val="none" w:sz="0" w:space="0" w:color="auto"/>
                <w:bottom w:val="none" w:sz="0" w:space="0" w:color="auto"/>
                <w:right w:val="none" w:sz="0" w:space="0" w:color="auto"/>
              </w:divBdr>
              <w:divsChild>
                <w:div w:id="3531178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42576054">
              <w:marLeft w:val="0"/>
              <w:marRight w:val="0"/>
              <w:marTop w:val="0"/>
              <w:marBottom w:val="0"/>
              <w:divBdr>
                <w:top w:val="none" w:sz="0" w:space="0" w:color="auto"/>
                <w:left w:val="none" w:sz="0" w:space="0" w:color="auto"/>
                <w:bottom w:val="none" w:sz="0" w:space="0" w:color="auto"/>
                <w:right w:val="none" w:sz="0" w:space="0" w:color="auto"/>
              </w:divBdr>
              <w:divsChild>
                <w:div w:id="1667559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04619297">
              <w:marLeft w:val="0"/>
              <w:marRight w:val="0"/>
              <w:marTop w:val="0"/>
              <w:marBottom w:val="0"/>
              <w:divBdr>
                <w:top w:val="none" w:sz="0" w:space="0" w:color="auto"/>
                <w:left w:val="none" w:sz="0" w:space="0" w:color="auto"/>
                <w:bottom w:val="none" w:sz="0" w:space="0" w:color="auto"/>
                <w:right w:val="none" w:sz="0" w:space="0" w:color="auto"/>
              </w:divBdr>
              <w:divsChild>
                <w:div w:id="190988269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456068602">
          <w:marLeft w:val="0"/>
          <w:marRight w:val="0"/>
          <w:marTop w:val="0"/>
          <w:marBottom w:val="0"/>
          <w:divBdr>
            <w:top w:val="none" w:sz="0" w:space="0" w:color="auto"/>
            <w:left w:val="none" w:sz="0" w:space="0" w:color="auto"/>
            <w:bottom w:val="none" w:sz="0" w:space="0" w:color="auto"/>
            <w:right w:val="none" w:sz="0" w:space="0" w:color="auto"/>
          </w:divBdr>
        </w:div>
        <w:div w:id="1332484938">
          <w:marLeft w:val="0"/>
          <w:marRight w:val="0"/>
          <w:marTop w:val="0"/>
          <w:marBottom w:val="0"/>
          <w:divBdr>
            <w:top w:val="none" w:sz="0" w:space="0" w:color="auto"/>
            <w:left w:val="none" w:sz="0" w:space="0" w:color="auto"/>
            <w:bottom w:val="none" w:sz="0" w:space="0" w:color="auto"/>
            <w:right w:val="none" w:sz="0" w:space="0" w:color="auto"/>
          </w:divBdr>
        </w:div>
        <w:div w:id="1622690269">
          <w:marLeft w:val="0"/>
          <w:marRight w:val="0"/>
          <w:marTop w:val="0"/>
          <w:marBottom w:val="0"/>
          <w:divBdr>
            <w:top w:val="none" w:sz="0" w:space="0" w:color="auto"/>
            <w:left w:val="none" w:sz="0" w:space="0" w:color="auto"/>
            <w:bottom w:val="none" w:sz="0" w:space="0" w:color="auto"/>
            <w:right w:val="none" w:sz="0" w:space="0" w:color="auto"/>
          </w:divBdr>
        </w:div>
      </w:divsChild>
    </w:div>
    <w:div w:id="1367483778">
      <w:bodyDiv w:val="1"/>
      <w:marLeft w:val="0"/>
      <w:marRight w:val="0"/>
      <w:marTop w:val="0"/>
      <w:marBottom w:val="0"/>
      <w:divBdr>
        <w:top w:val="none" w:sz="0" w:space="0" w:color="auto"/>
        <w:left w:val="none" w:sz="0" w:space="0" w:color="auto"/>
        <w:bottom w:val="none" w:sz="0" w:space="0" w:color="auto"/>
        <w:right w:val="none" w:sz="0" w:space="0" w:color="auto"/>
      </w:divBdr>
    </w:div>
    <w:div w:id="1375277179">
      <w:bodyDiv w:val="1"/>
      <w:marLeft w:val="0"/>
      <w:marRight w:val="0"/>
      <w:marTop w:val="0"/>
      <w:marBottom w:val="0"/>
      <w:divBdr>
        <w:top w:val="none" w:sz="0" w:space="0" w:color="auto"/>
        <w:left w:val="none" w:sz="0" w:space="0" w:color="auto"/>
        <w:bottom w:val="none" w:sz="0" w:space="0" w:color="auto"/>
        <w:right w:val="none" w:sz="0" w:space="0" w:color="auto"/>
      </w:divBdr>
    </w:div>
    <w:div w:id="1422066876">
      <w:bodyDiv w:val="1"/>
      <w:marLeft w:val="0"/>
      <w:marRight w:val="0"/>
      <w:marTop w:val="0"/>
      <w:marBottom w:val="0"/>
      <w:divBdr>
        <w:top w:val="none" w:sz="0" w:space="0" w:color="auto"/>
        <w:left w:val="none" w:sz="0" w:space="0" w:color="auto"/>
        <w:bottom w:val="none" w:sz="0" w:space="0" w:color="auto"/>
        <w:right w:val="none" w:sz="0" w:space="0" w:color="auto"/>
      </w:divBdr>
    </w:div>
    <w:div w:id="1526675375">
      <w:bodyDiv w:val="1"/>
      <w:marLeft w:val="0"/>
      <w:marRight w:val="0"/>
      <w:marTop w:val="0"/>
      <w:marBottom w:val="0"/>
      <w:divBdr>
        <w:top w:val="none" w:sz="0" w:space="0" w:color="auto"/>
        <w:left w:val="none" w:sz="0" w:space="0" w:color="auto"/>
        <w:bottom w:val="none" w:sz="0" w:space="0" w:color="auto"/>
        <w:right w:val="none" w:sz="0" w:space="0" w:color="auto"/>
      </w:divBdr>
    </w:div>
    <w:div w:id="1657957778">
      <w:bodyDiv w:val="1"/>
      <w:marLeft w:val="0"/>
      <w:marRight w:val="0"/>
      <w:marTop w:val="0"/>
      <w:marBottom w:val="0"/>
      <w:divBdr>
        <w:top w:val="none" w:sz="0" w:space="0" w:color="auto"/>
        <w:left w:val="none" w:sz="0" w:space="0" w:color="auto"/>
        <w:bottom w:val="none" w:sz="0" w:space="0" w:color="auto"/>
        <w:right w:val="none" w:sz="0" w:space="0" w:color="auto"/>
      </w:divBdr>
      <w:divsChild>
        <w:div w:id="244851358">
          <w:marLeft w:val="0"/>
          <w:marRight w:val="0"/>
          <w:marTop w:val="0"/>
          <w:marBottom w:val="0"/>
          <w:divBdr>
            <w:top w:val="none" w:sz="0" w:space="0" w:color="auto"/>
            <w:left w:val="none" w:sz="0" w:space="0" w:color="auto"/>
            <w:bottom w:val="none" w:sz="0" w:space="0" w:color="auto"/>
            <w:right w:val="none" w:sz="0" w:space="0" w:color="auto"/>
          </w:divBdr>
        </w:div>
      </w:divsChild>
    </w:div>
    <w:div w:id="1851338008">
      <w:bodyDiv w:val="1"/>
      <w:marLeft w:val="0"/>
      <w:marRight w:val="0"/>
      <w:marTop w:val="0"/>
      <w:marBottom w:val="0"/>
      <w:divBdr>
        <w:top w:val="none" w:sz="0" w:space="0" w:color="auto"/>
        <w:left w:val="none" w:sz="0" w:space="0" w:color="auto"/>
        <w:bottom w:val="none" w:sz="0" w:space="0" w:color="auto"/>
        <w:right w:val="none" w:sz="0" w:space="0" w:color="auto"/>
      </w:divBdr>
    </w:div>
    <w:div w:id="19436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b71074d-80fb-46a1-a481-3aed69152480}" enabled="0" method="" siteId="{3b71074d-80fb-46a1-a481-3aed69152480}" removed="1"/>
</clbl:labelList>
</file>

<file path=docProps/app.xml><?xml version="1.0" encoding="utf-8"?>
<Properties xmlns="http://schemas.openxmlformats.org/officeDocument/2006/extended-properties" xmlns:vt="http://schemas.openxmlformats.org/officeDocument/2006/docPropsVTypes">
  <Template>Normal</Template>
  <TotalTime>36</TotalTime>
  <Pages>3</Pages>
  <Words>942</Words>
  <Characters>5376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Chief Mathias El</dc:creator>
  <cp:keywords/>
  <dc:description/>
  <cp:lastModifiedBy>Chief Mathias El</cp:lastModifiedBy>
  <cp:revision>15</cp:revision>
  <dcterms:created xsi:type="dcterms:W3CDTF">2025-08-24T01:26:00Z</dcterms:created>
  <dcterms:modified xsi:type="dcterms:W3CDTF">2025-08-24T02:02:00Z</dcterms:modified>
</cp:coreProperties>
</file>