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25"/>
        <w:gridCol w:w="887"/>
        <w:gridCol w:w="1512"/>
        <w:gridCol w:w="115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(per one-year increase)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1.07–1.09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of residence: Rural vs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0.59–0.91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attainment: Primary vs 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1.16–2.48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attainment: Secondary vs 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1.24–2.38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 attainment: Higher vs 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1.18–2.66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wealth: Poorer vs 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1.07–3.27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wealth: Middle vs 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1.73–5.29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wealth: Richer vs poorest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3.24–9.66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Household wealth: Richest vs poorest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4.57–14.13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2026-09-23T00:40:22Z</dcterms:modified>
  <cp:category/>
</cp:coreProperties>
</file>