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18"/>
        </w:rPr>
        <w:t>ELECTRODOMUS — Documentation interne</w:t>
      </w:r>
    </w:p>
    <w:p>
      <w:pPr>
        <w:spacing w:after="120"/>
      </w:pPr>
      <w:r>
        <w:rPr>
          <w:b/>
          <w:i w:val="0"/>
          <w:sz w:val="32"/>
        </w:rPr>
        <w:t>Remplacement de l'ampoule et contrôle du joint de porte — gamme FR</w:t>
      </w:r>
    </w:p>
    <w:p>
      <w:pPr>
        <w:spacing w:after="120"/>
      </w:pPr>
      <w:r>
        <w:rPr>
          <w:b w:val="0"/>
          <w:i/>
          <w:sz w:val="20"/>
        </w:rPr>
        <w:t>Procédure SAV — usage interne conseillers niveau 1</w:t>
      </w:r>
    </w:p>
    <w:p>
      <w:pPr>
        <w:spacing w:after="120"/>
      </w:pPr>
      <w:r>
        <w:rPr>
          <w:b w:val="0"/>
          <w:i w:val="0"/>
          <w:sz w:val="18"/>
        </w:rPr>
        <w:t>Réf. : PROC-FR-03_Remplacement_ampoule_joint</w:t>
      </w:r>
    </w:p>
    <w:p/>
    <w:p>
      <w:pPr>
        <w:pStyle w:val="Heading1"/>
      </w:pPr>
      <w:r>
        <w:t>Objet</w:t>
      </w:r>
    </w:p>
    <w:p>
      <w:pPr>
        <w:spacing w:after="120"/>
      </w:pPr>
      <w:r>
        <w:rPr>
          <w:b w:val="0"/>
          <w:i w:val="0"/>
        </w:rPr>
        <w:t>Guider les deux gestes d'entretien réalisables par le client, et cadrer ce qui relève du technicien.</w:t>
      </w:r>
    </w:p>
    <w:p>
      <w:pPr>
        <w:pStyle w:val="Heading1"/>
      </w:pPr>
      <w:r>
        <w:t>Modèles concernés</w:t>
      </w:r>
    </w:p>
    <w:p>
      <w:pPr>
        <w:spacing w:after="120"/>
      </w:pPr>
      <w:r>
        <w:rPr>
          <w:b w:val="0"/>
          <w:i w:val="0"/>
        </w:rPr>
        <w:t>Tous les modèles FR.</w:t>
      </w:r>
    </w:p>
    <w:p>
      <w:pPr>
        <w:pStyle w:val="Heading1"/>
      </w:pPr>
      <w:r>
        <w:t>Ampoule (pièce d'usure, non garantie)</w:t>
      </w:r>
    </w:p>
    <w:p>
      <w:pPr>
        <w:pStyle w:val="ListNumber"/>
      </w:pPr>
      <w:r>
        <w:t>Faire couper le courant au disjoncteur.</w:t>
      </w:r>
    </w:p>
    <w:p>
      <w:pPr>
        <w:pStyle w:val="ListNumber"/>
      </w:pPr>
      <w:r>
        <w:t>Four froid : faire dévisser le hublot en verre au plafond de l'enceinte (sens antihoraire), puis extraire l'ampoule halogène G9.</w:t>
      </w:r>
    </w:p>
    <w:p>
      <w:pPr>
        <w:pStyle w:val="ListNumber"/>
      </w:pPr>
      <w:r>
        <w:t>Remplacement par une ampoule G9 25 W spéciale four (résistante à 300 °C) — jamais une G9 standard.</w:t>
      </w:r>
    </w:p>
    <w:p>
      <w:pPr>
        <w:pStyle w:val="ListNumber"/>
      </w:pPr>
      <w:r>
        <w:t>Manipuler l'ampoule neuve avec un chiffon : les traces de doigts réduisent sa durée de vie.</w:t>
      </w:r>
    </w:p>
    <w:p>
      <w:pPr>
        <w:pStyle w:val="ListNumber"/>
      </w:pPr>
      <w:r>
        <w:t>Revisser le hublot à fond et rétablir le courant.</w:t>
      </w:r>
    </w:p>
    <w:p>
      <w:pPr>
        <w:pStyle w:val="Heading1"/>
      </w:pPr>
      <w:r>
        <w:t>Joint de porte</w:t>
      </w:r>
    </w:p>
    <w:p>
      <w:pPr>
        <w:pStyle w:val="ListNumber"/>
      </w:pPr>
      <w:r>
        <w:t>Faire inspecter le joint sur tout le pourtour : une déchirure ou un écrasement localisé provoque fuite de chaleur, condensation excessive et surconsommation.</w:t>
      </w:r>
    </w:p>
    <w:p>
      <w:pPr>
        <w:pStyle w:val="ListNumber"/>
      </w:pPr>
      <w:r>
        <w:t>Joint simplement encrassé : éponge humide, jamais de décapant.</w:t>
      </w:r>
    </w:p>
    <w:p>
      <w:pPr>
        <w:pStyle w:val="ListNumber"/>
      </w:pPr>
      <w:r>
        <w:t>Joint endommagé : planifier le remplacement par un technicien (le joint est clipsé mais son positionnement conditionne l'étanchéité).</w:t>
      </w:r>
    </w:p>
    <w:p>
      <w:pPr>
        <w:pStyle w:val="Heading1"/>
      </w:pPr>
      <w:r>
        <w:t>Points d'attention</w:t>
      </w:r>
    </w:p>
    <w:p>
      <w:pPr>
        <w:pStyle w:val="ListBullet"/>
      </w:pPr>
      <w:r>
        <w:t>Si le client signale que la vitre extérieure devient brûlante au point de ne pas pouvoir la toucher en cuisson normale (hors gril prolongé), faire contrôler le joint et orienter vers une intervention : possible défaut de ventilation de porte.</w:t>
      </w:r>
    </w:p>
    <w:p>
      <w:pPr>
        <w:spacing w:after="120"/>
      </w:pPr>
      <w:r>
        <w:rPr>
          <w:b w:val="0"/>
          <w:i/>
          <w:sz w:val="18"/>
        </w:rPr>
        <w:t>Rédaction : cellule support technique — validation : responsable SAV. Toute mise à jour de cette procédure est notifiée par bulletin technique.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