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  <w:sz w:val="18"/>
        </w:rPr>
        <w:t>ELECTRODOMUS — Documentation interne</w:t>
      </w:r>
    </w:p>
    <w:p>
      <w:pPr>
        <w:spacing w:after="120"/>
      </w:pPr>
      <w:r>
        <w:rPr>
          <w:b/>
          <w:i w:val="0"/>
          <w:sz w:val="32"/>
        </w:rPr>
        <w:t>Fuite au sol et code E15 (sécurité anti-fuite) — gamme LV</w:t>
      </w:r>
    </w:p>
    <w:p>
      <w:pPr>
        <w:spacing w:after="120"/>
      </w:pPr>
      <w:r>
        <w:rPr>
          <w:b w:val="0"/>
          <w:i/>
          <w:sz w:val="20"/>
        </w:rPr>
        <w:t>Procédure SAV — usage interne conseillers niveau 1</w:t>
      </w:r>
    </w:p>
    <w:p>
      <w:pPr>
        <w:spacing w:after="120"/>
      </w:pPr>
      <w:r>
        <w:rPr>
          <w:b w:val="0"/>
          <w:i w:val="0"/>
          <w:sz w:val="18"/>
        </w:rPr>
        <w:t>Réf. : PROC-LV-02_Fuite_E15</w:t>
      </w:r>
    </w:p>
    <w:p/>
    <w:p>
      <w:pPr>
        <w:pStyle w:val="Heading1"/>
      </w:pPr>
      <w:r>
        <w:t>Objet</w:t>
      </w:r>
    </w:p>
    <w:p>
      <w:pPr>
        <w:spacing w:after="120"/>
      </w:pPr>
      <w:r>
        <w:rPr>
          <w:b w:val="0"/>
          <w:i w:val="0"/>
        </w:rPr>
        <w:t>Sécuriser la situation puis qualifier l'origine d'une fuite. Le code E15 signale de l'eau dans le socle : l'appareil se met en sécurité et vidange en continu.</w:t>
      </w:r>
    </w:p>
    <w:p>
      <w:pPr>
        <w:pStyle w:val="Heading1"/>
      </w:pPr>
      <w:r>
        <w:t>Modèles concernés</w:t>
      </w:r>
    </w:p>
    <w:p>
      <w:pPr>
        <w:spacing w:after="120"/>
      </w:pPr>
      <w:r>
        <w:rPr>
          <w:b w:val="0"/>
          <w:i w:val="0"/>
        </w:rPr>
        <w:t>Tous les modèles LV (le déclenchement AquaStop au robinet ne concerne que LV-200 à LV-350).</w:t>
      </w:r>
    </w:p>
    <w:p>
      <w:pPr>
        <w:pStyle w:val="Heading1"/>
      </w:pPr>
      <w:r>
        <w:t>Étape 1 — Sécuriser</w:t>
      </w:r>
    </w:p>
    <w:p>
      <w:pPr>
        <w:pStyle w:val="ListNumber"/>
      </w:pPr>
      <w:r>
        <w:t>Faire fermer immédiatement le robinet d'arrivée d'eau.</w:t>
      </w:r>
    </w:p>
    <w:p>
      <w:pPr>
        <w:pStyle w:val="ListNumber"/>
      </w:pPr>
      <w:r>
        <w:t>Ne PAS faire relancer de cycle : tant que le flotteur du socle détecte l'eau, l'appareil repartira en défaut.</w:t>
      </w:r>
    </w:p>
    <w:p>
      <w:pPr>
        <w:pStyle w:val="ListNumber"/>
      </w:pPr>
      <w:r>
        <w:t>Faire éponger l'eau visible au sol et vérifier l'origine apparente (avant/arrière, raccord, porte).</w:t>
      </w:r>
    </w:p>
    <w:p>
      <w:pPr>
        <w:pStyle w:val="Heading1"/>
      </w:pPr>
      <w:r>
        <w:t>Étape 2 — Qualifier</w:t>
      </w:r>
    </w:p>
    <w:p>
      <w:pPr>
        <w:pStyle w:val="ListNumber"/>
      </w:pPr>
      <w:r>
        <w:t>Fuite au raccord du robinet : faire resserrer à la main ; si le tuyau est équipé d'un boîtier AquaStop dont l'indicateur est passé au rouge, planifier une intervention (boîtier déclenché, dispositif couvert par la garantie spécifique — voir fiche de garantie gamme LV).</w:t>
      </w:r>
    </w:p>
    <w:p>
      <w:pPr>
        <w:pStyle w:val="ListNumber"/>
      </w:pPr>
      <w:r>
        <w:t>Fuite en façade pendant le cycle : joint bas de porte encrassé ou surdosage de détergent moussant → faire nettoyer le joint, vérifier les produits utilisés.</w:t>
      </w:r>
    </w:p>
    <w:p>
      <w:pPr>
        <w:pStyle w:val="ListNumber"/>
      </w:pPr>
      <w:r>
        <w:t>Code E15 sans fuite visible : eau dans le socle, intervention nécessaire (recherche de fuite interne, séchage du socle, contrôle du flotteur).</w:t>
      </w:r>
    </w:p>
    <w:p>
      <w:pPr>
        <w:pStyle w:val="Heading1"/>
      </w:pPr>
      <w:r>
        <w:t>Étape 3 — Planifier si besoin</w:t>
      </w:r>
    </w:p>
    <w:p>
      <w:pPr>
        <w:pStyle w:val="ListNumber"/>
      </w:pPr>
      <w:r>
        <w:t>Pour toute intervention : noter modèle, numéro de série (chant de la porte), code affiché, et si l'indicateur AquaStop est rouge.</w:t>
      </w:r>
    </w:p>
    <w:p>
      <w:pPr>
        <w:pStyle w:val="ListNumber"/>
      </w:pPr>
      <w:r>
        <w:t>Préciser au client de laisser le robinet fermé jusqu'au passage du technicien.</w:t>
      </w:r>
    </w:p>
    <w:p>
      <w:pPr>
        <w:pStyle w:val="Heading1"/>
      </w:pPr>
      <w:r>
        <w:t>Points d'attention</w:t>
      </w:r>
    </w:p>
    <w:p>
      <w:pPr>
        <w:pStyle w:val="ListBullet"/>
      </w:pPr>
      <w:r>
        <w:t>Un E15 n'est jamais « à ignorer » : même si l'appareil semble refonctionner après séchage spontané, la cause de la présence d'eau dans le socle doit être identifiée.</w:t>
      </w:r>
    </w:p>
    <w:p>
      <w:pPr>
        <w:spacing w:after="120"/>
      </w:pPr>
      <w:r>
        <w:rPr>
          <w:b w:val="0"/>
          <w:i/>
          <w:sz w:val="18"/>
        </w:rPr>
        <w:t>Rédaction : cellule support technique — validation : responsable SAV. Toute mise à jour de cette procédure est notifiée par bulletin technique.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