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18"/>
        </w:rPr>
        <w:t>ELECTRODOMUS — Documentation interne</w:t>
      </w:r>
    </w:p>
    <w:p>
      <w:pPr>
        <w:spacing w:after="120"/>
      </w:pPr>
      <w:r>
        <w:rPr>
          <w:b/>
          <w:i w:val="0"/>
          <w:sz w:val="32"/>
        </w:rPr>
        <w:t>Vaisselle mal lavée — diagnostic téléphonique gamme LV</w:t>
      </w:r>
    </w:p>
    <w:p>
      <w:pPr>
        <w:spacing w:after="120"/>
      </w:pPr>
      <w:r>
        <w:rPr>
          <w:b w:val="0"/>
          <w:i/>
          <w:sz w:val="20"/>
        </w:rPr>
        <w:t>Procédure SAV — usage interne conseillers niveau 1</w:t>
      </w:r>
    </w:p>
    <w:p>
      <w:pPr>
        <w:spacing w:after="120"/>
      </w:pPr>
      <w:r>
        <w:rPr>
          <w:b w:val="0"/>
          <w:i w:val="0"/>
          <w:sz w:val="18"/>
        </w:rPr>
        <w:t>Réf. : PROC-LV-03_Vaisselle_mal_lavee</w:t>
      </w:r>
    </w:p>
    <w:p/>
    <w:p>
      <w:pPr>
        <w:pStyle w:val="Heading1"/>
      </w:pPr>
      <w:r>
        <w:t>Objet</w:t>
      </w:r>
    </w:p>
    <w:p>
      <w:pPr>
        <w:spacing w:after="120"/>
      </w:pPr>
      <w:r>
        <w:rPr>
          <w:b w:val="0"/>
          <w:i w:val="0"/>
        </w:rPr>
        <w:t>Dérouler l'arbre de diagnostic des résultats de lavage décevants avant toute planification d'intervention : neuf cas sur dix se résolvent au téléphone.</w:t>
      </w:r>
    </w:p>
    <w:p>
      <w:pPr>
        <w:pStyle w:val="Heading1"/>
      </w:pPr>
      <w:r>
        <w:t>Modèles concernés</w:t>
      </w:r>
    </w:p>
    <w:p>
      <w:pPr>
        <w:spacing w:after="120"/>
      </w:pPr>
      <w:r>
        <w:rPr>
          <w:b w:val="0"/>
          <w:i w:val="0"/>
        </w:rPr>
        <w:t>Tous les modèles LV.</w:t>
      </w:r>
    </w:p>
    <w:p>
      <w:pPr>
        <w:pStyle w:val="Heading1"/>
      </w:pPr>
      <w:r>
        <w:t>Vérifications dans l'ordre</w:t>
      </w:r>
    </w:p>
    <w:p>
      <w:pPr>
        <w:pStyle w:val="ListNumber"/>
      </w:pPr>
      <w:r>
        <w:t>Rotation des bras : faire tourner les deux bras à la main, appareil chargé. Un ustensile haut ou un plat débordant bloque fréquemment le bras inférieur.</w:t>
      </w:r>
    </w:p>
    <w:p>
      <w:pPr>
        <w:pStyle w:val="ListNumber"/>
      </w:pPr>
      <w:r>
        <w:t>Buses : faire contrôler et déboucher les buses des bras (cure-dent) — manuel, chapitre 8.2.</w:t>
      </w:r>
    </w:p>
    <w:p>
      <w:pPr>
        <w:pStyle w:val="ListNumber"/>
      </w:pPr>
      <w:r>
        <w:t>Filtres : faire démonter et rincer l'ensemble de filtration (hebdomadaire en usage normal).</w:t>
      </w:r>
    </w:p>
    <w:p>
      <w:pPr>
        <w:pStyle w:val="ListNumber"/>
      </w:pPr>
      <w:r>
        <w:t>Chargement : rappeler les règles du chapitre 6 du manuel (pas de superposition, ouvertures vers le bas, assiettes face au jet).</w:t>
      </w:r>
    </w:p>
    <w:p>
      <w:pPr>
        <w:pStyle w:val="ListNumber"/>
      </w:pPr>
      <w:r>
        <w:t>Programme : vaisselle grasse ou séchée → Intensif 70 °C ; le programme Rapide 30 min est réservé à la vaisselle fraîche peu sale.</w:t>
      </w:r>
    </w:p>
    <w:p>
      <w:pPr>
        <w:pStyle w:val="ListNumber"/>
      </w:pPr>
      <w:r>
        <w:t>Détergent : vérifier date de péremption des tablettes (elles s'humidifient) et fermeture du volet doseur jusqu'au clic.</w:t>
      </w:r>
    </w:p>
    <w:p>
      <w:pPr>
        <w:pStyle w:val="ListNumber"/>
      </w:pPr>
      <w:r>
        <w:t>Si tout est conforme et le résultat toujours défaillant sur cycle Intensif : planifier une intervention (pression de cyclage, répartiteur).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Si le défaut ne touche que le panier supérieur : orienter d'emblée vers bras supérieur (buses, clip de fixation) et vérifier que la demi-charge n'est pas activée sur le seul panier inférieur.</w:t>
      </w:r>
    </w:p>
    <w:p>
      <w:pPr>
        <w:spacing w:after="120"/>
      </w:pPr>
      <w:r>
        <w:rPr>
          <w:b w:val="0"/>
          <w:i/>
          <w:sz w:val="18"/>
        </w:rPr>
        <w:t>Rédaction : cellule support technique — validation : responsable SAV. Toute mise à jour de cette procédure est notifiée par bulletin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