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Détartrage d'un lave-linge gamme WX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PROC-WX-01_Detartrage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Guider le client dans le détartrage préventif ou curatif de son appareil, notamment en zone d'eau dure (dureté supérieure à 25 °f). Un entretien anticalcaire non réalisé exclut de la garantie les dommages liés au calcaire (CGV, article 6).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WX.</w:t>
      </w:r>
    </w:p>
    <w:p>
      <w:pPr>
        <w:pStyle w:val="Heading1"/>
      </w:pPr>
      <w:r>
        <w:t>Déroulé de l'appel</w:t>
      </w:r>
    </w:p>
    <w:p>
      <w:pPr>
        <w:pStyle w:val="ListNumber"/>
      </w:pPr>
      <w:r>
        <w:t>Demander au client la dureté de l'eau de sa commune (consultable sur le site de sa mairie ou de son fournisseur d'eau).</w:t>
      </w:r>
    </w:p>
    <w:p>
      <w:pPr>
        <w:pStyle w:val="ListNumber"/>
      </w:pPr>
      <w:r>
        <w:t>Recommander la fréquence : tous les 3 mois en eau dure, tous les 6 mois sinon.</w:t>
      </w:r>
    </w:p>
    <w:p>
      <w:pPr>
        <w:pStyle w:val="ListNumber"/>
      </w:pPr>
      <w:r>
        <w:t>Faire lancer un programme Coton 60 °C à vide avec le détartrant Electrodomus DT-200 versé directement dans le tambour.</w:t>
      </w:r>
    </w:p>
    <w:p>
      <w:pPr>
        <w:pStyle w:val="ListNumber"/>
      </w:pPr>
      <w:r>
        <w:t>Préciser de ne mettre ni linge ni lessive pendant ce cycle.</w:t>
      </w:r>
    </w:p>
    <w:p>
      <w:pPr>
        <w:pStyle w:val="ListNumber"/>
      </w:pPr>
      <w:r>
        <w:t>Rappeler l'interdiction du vinaigre pur : il attaque les joints et les durites (dommage non garanti).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Si le client signale des traces blanches sur le linge malgré le détartrage, faire vérifier le dosage de lessive et proposer un cycle de rinçage supplémentaire.</w:t>
      </w:r>
    </w:p>
    <w:p>
      <w:pPr>
        <w:pStyle w:val="ListBullet"/>
      </w:pPr>
      <w:r>
        <w:t>Le DT-200 est disponible sur la boutique en ligne (réf. accessoire DT-200, contenance pour 2 détartrages).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