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Titre: MedInTechs 2025 : un événement pour découvrir les innovations scientifiques et technologiques en santé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Bornage : Santé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Résumé :Les 10 et 11 mars 2025, MedInTechs investit le Parc Floral de Paris. Cet événement réunit les professionnels de la santé, les startups innovantes, les institutions et le grand public autour des dernières avancées technologiques qui révolutionnent le secteur médical, notamment en matière de réalité virtuelle appliquée à la santé.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source : </w:t>
      </w:r>
      <w:hyperlink r:id="rId6">
        <w:r w:rsidDel="00000000" w:rsidR="00000000" w:rsidRPr="00000000">
          <w:rPr>
            <w:color w:val="1155cc"/>
            <w:u w:val="single"/>
            <w:rtl w:val="0"/>
          </w:rPr>
          <w:t xml:space="preserve">https://www.medtechfrance.fr/evenements/medintechs-2025-un-evenement-pour-decouvrir-innovations-scientifiques-et-technologiques-en-sante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dtechfrance.fr/evenements/medintechs-2025-un-evenement-pour-decouvrir-innovations-scientifiques-et-technologiques-en-sa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