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3AC" w:rsidRPr="00200DAB" w:rsidRDefault="00200DAB" w:rsidP="00200DAB">
      <w:pPr>
        <w:jc w:val="center"/>
      </w:pPr>
      <w:r w:rsidRPr="00200DAB">
        <w:t xml:space="preserve">Information réservation des salles </w:t>
      </w:r>
    </w:p>
    <w:p w:rsidR="00200DAB" w:rsidRPr="00200DAB" w:rsidRDefault="00200DAB" w:rsidP="00200DAB">
      <w:pPr>
        <w:rPr>
          <w:lang w:val="en-US"/>
        </w:rPr>
      </w:pPr>
    </w:p>
    <w:p w:rsidR="00200DAB" w:rsidRPr="00200DAB" w:rsidRDefault="00200DAB" w:rsidP="00200DAB">
      <w:pPr>
        <w:ind w:left="360" w:hanging="360"/>
        <w:jc w:val="both"/>
        <w:rPr>
          <w:rFonts w:ascii="Calibri" w:hAnsi="Calibri" w:cs="Calibri"/>
          <w:i/>
        </w:rPr>
      </w:pPr>
      <w:r w:rsidRPr="00200DAB">
        <w:rPr>
          <w:rFonts w:ascii="Calibri" w:hAnsi="Calibri" w:cs="Calibri"/>
          <w:i/>
        </w:rPr>
        <w:t>Comment fonctionne le système de réservation des salles ressources, comme les salles de réunions, l’amphithéâtre ou encore la nouvelle salle de convivialité ?</w:t>
      </w:r>
    </w:p>
    <w:p w:rsidR="00200DAB" w:rsidRPr="00200DAB" w:rsidRDefault="00200DAB" w:rsidP="00200DAB">
      <w:pPr>
        <w:ind w:left="360" w:hanging="360"/>
        <w:jc w:val="both"/>
        <w:rPr>
          <w:rFonts w:ascii="Calibri" w:hAnsi="Calibri" w:cs="Calibri"/>
          <w:i/>
          <w:sz w:val="8"/>
          <w:szCs w:val="8"/>
        </w:rPr>
      </w:pPr>
    </w:p>
    <w:p w:rsidR="00200DAB" w:rsidRPr="00200DAB" w:rsidRDefault="00200DAB" w:rsidP="00200DAB">
      <w:pPr>
        <w:ind w:left="360" w:hanging="360"/>
        <w:jc w:val="both"/>
        <w:rPr>
          <w:rFonts w:ascii="Calibri" w:hAnsi="Calibri" w:cs="Calibri"/>
        </w:rPr>
      </w:pPr>
      <w:r w:rsidRPr="00200DAB">
        <w:rPr>
          <w:rFonts w:ascii="Calibri" w:hAnsi="Calibri" w:cs="Calibri"/>
        </w:rPr>
        <w:t>R.</w:t>
      </w:r>
      <w:r w:rsidRPr="00200DAB">
        <w:rPr>
          <w:rFonts w:ascii="Calibri" w:hAnsi="Calibri" w:cs="Calibri"/>
        </w:rPr>
        <w:tab/>
        <w:t>Concernant l’amphi, il y a ½ journée gratuite par an pour chaque ligue et comité départemental (CD). Les salles de réunions d’étage sont mises librement à la disposition des occupants de l’étage. Les salles de réunions sont réservables via l’Intranet, avec différents services associés dont certains sont payants. Il existe quatre niveaux de tarification. En 2009, nous avons reçu 2732 réunions et 47316 personnes ont assisté à ces réunions.</w:t>
      </w:r>
      <w:bookmarkStart w:id="0" w:name="_GoBack"/>
      <w:bookmarkEnd w:id="0"/>
    </w:p>
    <w:p w:rsidR="00200DAB" w:rsidRPr="00200DAB" w:rsidRDefault="00200DAB" w:rsidP="00200DAB">
      <w:pPr>
        <w:ind w:left="360" w:hanging="360"/>
        <w:jc w:val="both"/>
        <w:rPr>
          <w:rFonts w:ascii="Calibri" w:hAnsi="Calibri" w:cs="Calibri"/>
        </w:rPr>
      </w:pPr>
    </w:p>
    <w:p w:rsidR="00200DAB" w:rsidRPr="00200DAB" w:rsidRDefault="00200DAB" w:rsidP="00200DAB">
      <w:pPr>
        <w:ind w:left="360" w:hanging="360"/>
        <w:jc w:val="both"/>
        <w:rPr>
          <w:rFonts w:ascii="Calibri" w:hAnsi="Calibri" w:cs="Calibri"/>
          <w:i/>
        </w:rPr>
      </w:pPr>
      <w:r w:rsidRPr="00200DAB">
        <w:rPr>
          <w:rFonts w:ascii="Calibri" w:hAnsi="Calibri" w:cs="Calibri"/>
          <w:i/>
        </w:rPr>
        <w:t>Q.</w:t>
      </w:r>
      <w:r w:rsidRPr="00200DAB">
        <w:rPr>
          <w:rFonts w:ascii="Calibri" w:hAnsi="Calibri" w:cs="Calibri"/>
          <w:i/>
        </w:rPr>
        <w:tab/>
        <w:t>Quels sont ces niveaux de tarification ?</w:t>
      </w:r>
    </w:p>
    <w:p w:rsidR="00200DAB" w:rsidRPr="00200DAB" w:rsidRDefault="00200DAB" w:rsidP="00200DAB">
      <w:pPr>
        <w:ind w:left="360" w:hanging="360"/>
        <w:jc w:val="both"/>
        <w:rPr>
          <w:rFonts w:ascii="Calibri" w:hAnsi="Calibri" w:cs="Calibri"/>
          <w:i/>
          <w:sz w:val="8"/>
          <w:szCs w:val="8"/>
        </w:rPr>
      </w:pPr>
    </w:p>
    <w:p w:rsidR="00200DAB" w:rsidRPr="00200DAB" w:rsidRDefault="00200DAB" w:rsidP="00200DAB">
      <w:pPr>
        <w:ind w:left="360" w:hanging="360"/>
        <w:jc w:val="both"/>
        <w:rPr>
          <w:rFonts w:ascii="Calibri" w:hAnsi="Calibri" w:cs="Calibri"/>
        </w:rPr>
      </w:pPr>
      <w:r w:rsidRPr="00200DAB">
        <w:rPr>
          <w:rFonts w:ascii="Calibri" w:hAnsi="Calibri" w:cs="Calibri"/>
        </w:rPr>
        <w:t>R.</w:t>
      </w:r>
      <w:r w:rsidRPr="00200DAB">
        <w:rPr>
          <w:rFonts w:ascii="Calibri" w:hAnsi="Calibri" w:cs="Calibri"/>
        </w:rPr>
        <w:tab/>
        <w:t>Les ligues peuvent réserver sans payer jusqu’à concurrence de six réservations par an, hors amphi. Les clubs sportifs et les comités départementaux ont un premier niveau de tarification. Les associations, les lycées ou encore les collèges sont sur un second niveau de tarification. Enfin, tous les autres organismes, y compris des sociétés privées, sont sur le niveau de tarification le plus haut. Pour toutes les structures qui ne sont pas hébergées, les locaux étant publics, il faut faire signer entre les parties une « convention d’occupation temporaire ». La réservation se fait dans l’Intranet directement pour les structures hébergées ou par le secrétariat pour une demande extérieure. Les informations sont ensuite transmises au Conseil Régional qui émet un « titre de paiement », c’est-à-dire une facture d’occupation de locaux. Ces titres sont envoyés directement par le Conseil Régional aux utilisateurs.</w:t>
      </w:r>
    </w:p>
    <w:p w:rsidR="00200DAB" w:rsidRPr="00200DAB" w:rsidRDefault="00200DAB" w:rsidP="00200DAB"/>
    <w:p w:rsidR="00200DAB" w:rsidRPr="00200DAB" w:rsidRDefault="00200DAB" w:rsidP="00200DAB">
      <w:pPr>
        <w:pStyle w:val="Titre3"/>
        <w:rPr>
          <w:color w:val="auto"/>
        </w:rPr>
      </w:pPr>
      <w:r w:rsidRPr="00200DAB">
        <w:rPr>
          <w:color w:val="auto"/>
        </w:rPr>
        <w:tab/>
      </w:r>
      <w:bookmarkStart w:id="1" w:name="_Toc294250835"/>
      <w:r w:rsidRPr="00200DAB">
        <w:rPr>
          <w:color w:val="auto"/>
        </w:rPr>
        <w:t>Description du site de la M2L</w:t>
      </w:r>
      <w:bookmarkEnd w:id="1"/>
    </w:p>
    <w:p w:rsidR="00200DAB" w:rsidRPr="00200DAB" w:rsidRDefault="00200DAB" w:rsidP="00200DAB">
      <w:pPr>
        <w:jc w:val="both"/>
        <w:rPr>
          <w:rFonts w:ascii="Calibri" w:hAnsi="Calibri" w:cs="Calibri"/>
        </w:rPr>
      </w:pPr>
    </w:p>
    <w:p w:rsidR="00200DAB" w:rsidRPr="00200DAB" w:rsidRDefault="00200DAB" w:rsidP="00200DAB">
      <w:pPr>
        <w:jc w:val="both"/>
        <w:rPr>
          <w:rFonts w:ascii="Calibri" w:hAnsi="Calibri" w:cs="Calibri"/>
        </w:rPr>
      </w:pPr>
      <w:r w:rsidRPr="00200DAB">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200DAB" w:rsidRPr="00200DAB" w:rsidRDefault="00200DAB" w:rsidP="00200DAB">
      <w:pPr>
        <w:jc w:val="both"/>
        <w:rPr>
          <w:rFonts w:ascii="Calibri" w:hAnsi="Calibri" w:cs="Calibri"/>
          <w:sz w:val="12"/>
          <w:szCs w:val="12"/>
        </w:rPr>
      </w:pPr>
    </w:p>
    <w:p w:rsidR="00200DAB" w:rsidRPr="00200DAB" w:rsidRDefault="00200DAB" w:rsidP="00200DAB">
      <w:pPr>
        <w:jc w:val="both"/>
        <w:rPr>
          <w:rFonts w:ascii="Calibri" w:hAnsi="Calibri" w:cs="Calibri"/>
        </w:rPr>
      </w:pPr>
      <w:r w:rsidRPr="00200DAB">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200DAB" w:rsidRPr="00200DAB" w:rsidRDefault="00200DAB" w:rsidP="00200DAB">
      <w:pPr>
        <w:jc w:val="both"/>
        <w:rPr>
          <w:rFonts w:ascii="Calibri" w:hAnsi="Calibri" w:cs="Calibri"/>
          <w:sz w:val="12"/>
          <w:szCs w:val="12"/>
        </w:rPr>
      </w:pPr>
    </w:p>
    <w:p w:rsidR="00200DAB" w:rsidRPr="00200DAB" w:rsidRDefault="00200DAB" w:rsidP="00200DAB">
      <w:pPr>
        <w:jc w:val="both"/>
        <w:rPr>
          <w:rFonts w:ascii="Calibri" w:hAnsi="Calibri" w:cs="Calibri"/>
        </w:rPr>
      </w:pPr>
      <w:r w:rsidRPr="00200DAB">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200DAB" w:rsidRPr="00200DAB" w:rsidRDefault="00200DAB" w:rsidP="00200DAB">
      <w:pPr>
        <w:jc w:val="both"/>
        <w:rPr>
          <w:rFonts w:ascii="Calibri" w:hAnsi="Calibri" w:cs="Calibri"/>
        </w:rPr>
      </w:pPr>
    </w:p>
    <w:p w:rsidR="00200DAB" w:rsidRPr="00200DAB" w:rsidRDefault="00200DAB" w:rsidP="00200DAB">
      <w:pPr>
        <w:jc w:val="both"/>
      </w:pPr>
    </w:p>
    <w:p w:rsidR="00200DAB" w:rsidRPr="00200DAB" w:rsidRDefault="00200DAB" w:rsidP="00200DAB">
      <w:pPr>
        <w:jc w:val="both"/>
      </w:pPr>
      <w:r w:rsidRPr="00200DAB">
        <w:t>Implantation des quatre bâtiments</w:t>
      </w:r>
    </w:p>
    <w:p w:rsidR="00200DAB" w:rsidRPr="00200DAB" w:rsidRDefault="00200DAB" w:rsidP="00200DAB">
      <w:pPr>
        <w:pStyle w:val="Titre4"/>
        <w:rPr>
          <w:color w:val="auto"/>
        </w:rPr>
      </w:pPr>
    </w:p>
    <w:p w:rsidR="00200DAB" w:rsidRPr="00200DAB" w:rsidRDefault="00200DAB" w:rsidP="00200DAB">
      <w:pPr>
        <w:jc w:val="center"/>
      </w:pPr>
      <w:r w:rsidRPr="00200DAB">
        <w:rPr>
          <w:rFonts w:ascii="Calibri" w:hAnsi="Calibri" w:cs="Calibri"/>
          <w:noProof/>
          <w:lang w:eastAsia="fr-FR"/>
        </w:rPr>
        <w:drawing>
          <wp:inline distT="0" distB="0" distL="0" distR="0">
            <wp:extent cx="3780155" cy="14560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155" cy="1456055"/>
                    </a:xfrm>
                    <a:prstGeom prst="rect">
                      <a:avLst/>
                    </a:prstGeom>
                    <a:solidFill>
                      <a:srgbClr val="FFFFFF">
                        <a:alpha val="0"/>
                      </a:srgbClr>
                    </a:solidFill>
                    <a:ln>
                      <a:noFill/>
                    </a:ln>
                  </pic:spPr>
                </pic:pic>
              </a:graphicData>
            </a:graphic>
          </wp:inline>
        </w:drawing>
      </w:r>
    </w:p>
    <w:p w:rsidR="00200DAB" w:rsidRPr="00200DAB" w:rsidRDefault="00200DAB" w:rsidP="00200DAB">
      <w:pPr>
        <w:pStyle w:val="Titre5"/>
        <w:rPr>
          <w:color w:val="auto"/>
        </w:rPr>
      </w:pPr>
      <w:bookmarkStart w:id="2" w:name="_Toc294250836"/>
      <w:r w:rsidRPr="00200DAB">
        <w:rPr>
          <w:color w:val="auto"/>
        </w:rPr>
        <w:t>Implantation des locaux en rez-de-chaussée des quatre bâtiments</w:t>
      </w:r>
      <w:bookmarkEnd w:id="2"/>
    </w:p>
    <w:p w:rsidR="00200DAB" w:rsidRPr="00200DAB" w:rsidRDefault="00200DAB" w:rsidP="00200DAB">
      <w:pPr>
        <w:rPr>
          <w:rFonts w:ascii="Calibri" w:hAnsi="Calibri" w:cs="Calibri"/>
          <w:sz w:val="8"/>
          <w:szCs w:val="8"/>
        </w:rPr>
      </w:pPr>
    </w:p>
    <w:p w:rsidR="00200DAB" w:rsidRPr="00200DAB" w:rsidRDefault="00200DAB" w:rsidP="00200DAB">
      <w:pPr>
        <w:jc w:val="center"/>
        <w:rPr>
          <w:rFonts w:ascii="Calibri" w:hAnsi="Calibri" w:cs="Calibri"/>
        </w:rPr>
      </w:pPr>
      <w:r w:rsidRPr="00200DAB">
        <w:rPr>
          <w:rFonts w:ascii="Calibri" w:hAnsi="Calibri" w:cs="Calibri"/>
          <w:noProof/>
          <w:lang w:eastAsia="fr-FR"/>
        </w:rPr>
        <w:drawing>
          <wp:inline distT="0" distB="0" distL="0" distR="0">
            <wp:extent cx="5710555" cy="27686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2768600"/>
                    </a:xfrm>
                    <a:prstGeom prst="rect">
                      <a:avLst/>
                    </a:prstGeom>
                    <a:solidFill>
                      <a:srgbClr val="FFFFFF">
                        <a:alpha val="0"/>
                      </a:srgbClr>
                    </a:solidFill>
                    <a:ln>
                      <a:noFill/>
                    </a:ln>
                  </pic:spPr>
                </pic:pic>
              </a:graphicData>
            </a:graphic>
          </wp:inline>
        </w:drawing>
      </w:r>
    </w:p>
    <w:p w:rsidR="00200DAB" w:rsidRPr="00200DAB" w:rsidRDefault="00200DAB" w:rsidP="00200DAB">
      <w:pPr>
        <w:rPr>
          <w:rFonts w:ascii="Calibri" w:hAnsi="Calibri" w:cs="Calibri"/>
        </w:rPr>
      </w:pPr>
    </w:p>
    <w:p w:rsidR="00200DAB" w:rsidRPr="00200DAB" w:rsidRDefault="00200DAB" w:rsidP="00200DAB">
      <w:pPr>
        <w:jc w:val="both"/>
        <w:rPr>
          <w:rFonts w:ascii="Calibri" w:hAnsi="Calibri" w:cs="Calibri"/>
        </w:rPr>
      </w:pPr>
      <w:r w:rsidRPr="00200DAB">
        <w:rPr>
          <w:rFonts w:ascii="Calibri" w:hAnsi="Calibri" w:cs="Calibri"/>
        </w:rPr>
        <w:t xml:space="preserve">Notes : les salles </w:t>
      </w:r>
      <w:r w:rsidRPr="00200DAB">
        <w:rPr>
          <w:rFonts w:ascii="Calibri" w:hAnsi="Calibri" w:cs="Calibri"/>
          <w:i/>
        </w:rPr>
        <w:t>Majorelle</w:t>
      </w:r>
      <w:r w:rsidRPr="00200DAB">
        <w:rPr>
          <w:rFonts w:ascii="Calibri" w:hAnsi="Calibri" w:cs="Calibri"/>
        </w:rPr>
        <w:t xml:space="preserve">, </w:t>
      </w:r>
      <w:proofErr w:type="spellStart"/>
      <w:r w:rsidRPr="00200DAB">
        <w:rPr>
          <w:rFonts w:ascii="Calibri" w:hAnsi="Calibri" w:cs="Calibri"/>
          <w:i/>
        </w:rPr>
        <w:t>Grüber</w:t>
      </w:r>
      <w:proofErr w:type="spellEnd"/>
      <w:r w:rsidRPr="00200DAB">
        <w:rPr>
          <w:rFonts w:ascii="Calibri" w:hAnsi="Calibri" w:cs="Calibri"/>
        </w:rPr>
        <w:t xml:space="preserve">, </w:t>
      </w:r>
      <w:r w:rsidRPr="00200DAB">
        <w:rPr>
          <w:rFonts w:ascii="Calibri" w:hAnsi="Calibri" w:cs="Calibri"/>
          <w:i/>
        </w:rPr>
        <w:t>Lamour</w:t>
      </w:r>
      <w:r w:rsidRPr="00200DAB">
        <w:rPr>
          <w:rFonts w:ascii="Calibri" w:hAnsi="Calibri" w:cs="Calibri"/>
        </w:rPr>
        <w:t xml:space="preserve">, </w:t>
      </w:r>
      <w:r w:rsidRPr="00200DAB">
        <w:rPr>
          <w:rFonts w:ascii="Calibri" w:hAnsi="Calibri" w:cs="Calibri"/>
          <w:i/>
        </w:rPr>
        <w:t>Longwy</w:t>
      </w:r>
      <w:r w:rsidRPr="00200DAB">
        <w:rPr>
          <w:rFonts w:ascii="Calibri" w:hAnsi="Calibri" w:cs="Calibri"/>
        </w:rPr>
        <w:t xml:space="preserve">, </w:t>
      </w:r>
      <w:r w:rsidRPr="00200DAB">
        <w:rPr>
          <w:rFonts w:ascii="Calibri" w:hAnsi="Calibri" w:cs="Calibri"/>
          <w:i/>
        </w:rPr>
        <w:t>Daum</w:t>
      </w:r>
      <w:r w:rsidRPr="00200DAB">
        <w:rPr>
          <w:rFonts w:ascii="Calibri" w:hAnsi="Calibri" w:cs="Calibri"/>
        </w:rPr>
        <w:t xml:space="preserve">, </w:t>
      </w:r>
      <w:r w:rsidRPr="00200DAB">
        <w:rPr>
          <w:rFonts w:ascii="Calibri" w:hAnsi="Calibri" w:cs="Calibri"/>
          <w:i/>
        </w:rPr>
        <w:t>Gallé</w:t>
      </w:r>
      <w:r w:rsidRPr="00200DAB">
        <w:rPr>
          <w:rFonts w:ascii="Calibri" w:hAnsi="Calibri" w:cs="Calibri"/>
        </w:rPr>
        <w:t xml:space="preserve">, </w:t>
      </w:r>
      <w:r w:rsidRPr="00200DAB">
        <w:rPr>
          <w:rFonts w:ascii="Calibri" w:hAnsi="Calibri" w:cs="Calibri"/>
          <w:i/>
        </w:rPr>
        <w:t>Corbin</w:t>
      </w:r>
      <w:r w:rsidRPr="00200DAB">
        <w:rPr>
          <w:rFonts w:ascii="Calibri" w:hAnsi="Calibri" w:cs="Calibri"/>
        </w:rPr>
        <w:t xml:space="preserve"> et </w:t>
      </w:r>
      <w:r w:rsidRPr="00200DAB">
        <w:rPr>
          <w:rFonts w:ascii="Calibri" w:hAnsi="Calibri" w:cs="Calibri"/>
          <w:i/>
        </w:rPr>
        <w:t>Baccarat</w:t>
      </w:r>
      <w:r w:rsidRPr="00200DAB">
        <w:rPr>
          <w:rFonts w:ascii="Calibri" w:hAnsi="Calibri" w:cs="Calibri"/>
        </w:rPr>
        <w:t xml:space="preserve"> sont des salles de réunion disponibles à la réservation. La salle multimédia est une salle dédiée aux stages de formation à inscription libre proposés par le CROSL ou pour les stages organisés par les ligues. L'amphithéâtre est réservable pour les assemblées générales ou pour d'autres réunions importantes. La salle de convivialité, et son office attenant, est également disponible à la réservation, souvent pour les repas "traiteur" qui suivent les réunions. Toutes ces salles sont accessibles en soirée : un système de "digicode" permet d'entrer dans les locaux en dehors des heures d'ouverture des bureaux. </w:t>
      </w:r>
    </w:p>
    <w:p w:rsidR="00200DAB" w:rsidRPr="00200DAB" w:rsidRDefault="00200DAB" w:rsidP="00200DAB">
      <w:pPr>
        <w:jc w:val="both"/>
        <w:rPr>
          <w:rFonts w:ascii="Calibri" w:hAnsi="Calibri" w:cs="Calibri"/>
        </w:rPr>
      </w:pPr>
      <w:r w:rsidRPr="00200DAB">
        <w:rPr>
          <w:rFonts w:ascii="Calibri" w:hAnsi="Calibri" w:cs="Calibri"/>
        </w:rPr>
        <w:t xml:space="preserve">Différents services peuvent être demandés en parallèle à la réservation : aménagement particulier, fourniture d’eau, de café etc. Ces services sont pour la plupart payants. </w:t>
      </w:r>
    </w:p>
    <w:p w:rsidR="00200DAB" w:rsidRPr="00200DAB" w:rsidRDefault="00200DAB" w:rsidP="00200DAB">
      <w:pPr>
        <w:jc w:val="both"/>
        <w:rPr>
          <w:rFonts w:ascii="Calibri" w:hAnsi="Calibri" w:cs="Calibri"/>
        </w:rPr>
      </w:pPr>
    </w:p>
    <w:p w:rsidR="00200DAB" w:rsidRPr="00200DAB" w:rsidRDefault="00200DAB" w:rsidP="00200DAB">
      <w:pPr>
        <w:jc w:val="both"/>
        <w:rPr>
          <w:rFonts w:ascii="Calibri" w:hAnsi="Calibri" w:cs="Calibri"/>
        </w:rPr>
      </w:pPr>
      <w:r w:rsidRPr="00200DAB">
        <w:rPr>
          <w:rFonts w:ascii="Calibri" w:hAnsi="Calibri" w:cs="Calibri"/>
        </w:rPr>
        <w:t>La salle de reprographie est un espace commun aux ligues et à l'administration de la M2L.</w:t>
      </w:r>
    </w:p>
    <w:p w:rsidR="00200DAB" w:rsidRPr="00200DAB" w:rsidRDefault="00200DAB" w:rsidP="00200DAB">
      <w:pPr>
        <w:jc w:val="both"/>
        <w:rPr>
          <w:rFonts w:ascii="Calibri" w:hAnsi="Calibri" w:cs="Calibri"/>
          <w:sz w:val="12"/>
          <w:szCs w:val="12"/>
        </w:rPr>
      </w:pPr>
    </w:p>
    <w:p w:rsidR="00200DAB" w:rsidRPr="00200DAB" w:rsidRDefault="00200DAB" w:rsidP="00200DAB">
      <w:pPr>
        <w:jc w:val="both"/>
        <w:rPr>
          <w:rFonts w:ascii="Calibri" w:hAnsi="Calibri" w:cs="Calibri"/>
        </w:rPr>
      </w:pPr>
      <w:r w:rsidRPr="00200DAB">
        <w:rPr>
          <w:rFonts w:ascii="Calibri" w:hAnsi="Calibri" w:cs="Calibri"/>
        </w:rPr>
        <w:lastRenderedPageBreak/>
        <w:t xml:space="preserve">Les ligues ont la possibilité de réserver gratuitement l'amphithéâtre ou la salle de convivialité une fois par an et six fois les salles de réunion. </w:t>
      </w:r>
      <w:proofErr w:type="spellStart"/>
      <w:r w:rsidRPr="00200DAB">
        <w:rPr>
          <w:rFonts w:ascii="Calibri" w:hAnsi="Calibri" w:cs="Calibri"/>
        </w:rPr>
        <w:t>Au delà</w:t>
      </w:r>
      <w:proofErr w:type="spellEnd"/>
      <w:r w:rsidRPr="00200DAB">
        <w:rPr>
          <w:rFonts w:ascii="Calibri" w:hAnsi="Calibri" w:cs="Calibri"/>
        </w:rPr>
        <w:t>, les réservations sont payantes. D’autres structures extérieures peuvent réserver l’ensemble des salles ressources moyennant finance.</w:t>
      </w:r>
    </w:p>
    <w:p w:rsidR="00200DAB" w:rsidRPr="00200DAB" w:rsidRDefault="00200DAB" w:rsidP="00200DAB">
      <w:pPr>
        <w:jc w:val="both"/>
        <w:rPr>
          <w:rFonts w:ascii="Calibri" w:hAnsi="Calibri" w:cs="Calibri"/>
        </w:rPr>
      </w:pPr>
    </w:p>
    <w:p w:rsidR="00200DAB" w:rsidRPr="00200DAB" w:rsidRDefault="00200DAB" w:rsidP="00200DAB">
      <w:pPr>
        <w:pStyle w:val="Titre4"/>
        <w:rPr>
          <w:color w:val="auto"/>
        </w:rPr>
      </w:pPr>
      <w:bookmarkStart w:id="3" w:name="_Toc294250837"/>
      <w:r w:rsidRPr="00200DAB">
        <w:rPr>
          <w:color w:val="auto"/>
        </w:rPr>
        <w:t>Implantation des ligues dans les bureaux</w:t>
      </w:r>
      <w:bookmarkEnd w:id="3"/>
    </w:p>
    <w:p w:rsidR="00200DAB" w:rsidRPr="00200DAB" w:rsidRDefault="00200DAB" w:rsidP="00200DAB">
      <w:pPr>
        <w:jc w:val="both"/>
        <w:rPr>
          <w:rFonts w:ascii="Calibri" w:hAnsi="Calibri" w:cs="Calibri"/>
        </w:rPr>
      </w:pPr>
    </w:p>
    <w:p w:rsidR="00200DAB" w:rsidRPr="00200DAB" w:rsidRDefault="00200DAB" w:rsidP="00200DAB">
      <w:pPr>
        <w:jc w:val="both"/>
        <w:rPr>
          <w:rFonts w:ascii="Calibri" w:hAnsi="Calibri" w:cs="Calibri"/>
        </w:rPr>
      </w:pPr>
      <w:r w:rsidRPr="00200DAB">
        <w:rPr>
          <w:rFonts w:ascii="Calibri" w:hAnsi="Calibri" w:cs="Calibri"/>
        </w:rPr>
        <w:t xml:space="preserve">En fonction de leur importance, les ligues et comités départementaux occupent un ou plusieurs bureaux. Ceux-ci peuvent communiquer entre eux quand ils sont contigus. Chaque bureau dispose d'un espace de rangement. Les employés et les bénévoles des ligues et CD disposent en bout d'étage d'une salle de réunion libre, laquelle est accessible seulement en journée et sans réservation </w:t>
      </w:r>
      <w:r w:rsidRPr="00200DAB">
        <w:rPr>
          <w:rFonts w:ascii="Calibri" w:hAnsi="Calibri" w:cs="Calibri"/>
          <w:i/>
        </w:rPr>
        <w:t>(« premier arrivé, premier servi »</w:t>
      </w:r>
      <w:r w:rsidRPr="00200DAB">
        <w:rPr>
          <w:rFonts w:ascii="Calibri" w:hAnsi="Calibri" w:cs="Calibri"/>
        </w:rPr>
        <w:t>). La location se fait sur la base d'un forfait de charges locatives par bureau (5€ par m</w:t>
      </w:r>
      <w:r w:rsidRPr="00200DAB">
        <w:rPr>
          <w:rFonts w:ascii="Calibri" w:hAnsi="Calibri" w:cs="Calibri"/>
          <w:vertAlign w:val="superscript"/>
        </w:rPr>
        <w:t>2</w:t>
      </w:r>
      <w:r w:rsidRPr="00200DAB">
        <w:rPr>
          <w:rFonts w:ascii="Calibri" w:hAnsi="Calibri" w:cs="Calibri"/>
        </w:rPr>
        <w:t xml:space="preserve"> et par mois).</w:t>
      </w:r>
    </w:p>
    <w:p w:rsidR="00200DAB" w:rsidRPr="00200DAB" w:rsidRDefault="00200DAB" w:rsidP="00200DAB">
      <w:pPr>
        <w:spacing w:before="200" w:after="200"/>
        <w:rPr>
          <w:rFonts w:ascii="Calibri" w:hAnsi="Calibri" w:cs="Calibri"/>
          <w:i/>
        </w:rPr>
      </w:pPr>
      <w:r w:rsidRPr="00200DAB">
        <w:rPr>
          <w:rFonts w:ascii="Calibri" w:hAnsi="Calibri" w:cs="Calibri"/>
          <w:i/>
        </w:rPr>
        <w:t>Plan standard d'étage : l'exemple du deuxième étage du bâtiment A</w:t>
      </w:r>
    </w:p>
    <w:p w:rsidR="00200DAB" w:rsidRPr="00200DAB" w:rsidRDefault="00200DAB" w:rsidP="00200DAB">
      <w:pPr>
        <w:jc w:val="center"/>
        <w:rPr>
          <w:rFonts w:ascii="Calibri" w:hAnsi="Calibri" w:cs="Calibri"/>
        </w:rPr>
      </w:pPr>
      <w:r w:rsidRPr="00200DAB">
        <w:rPr>
          <w:rFonts w:ascii="Calibri" w:hAnsi="Calibri" w:cs="Calibri"/>
          <w:noProof/>
          <w:lang w:eastAsia="fr-FR"/>
        </w:rPr>
        <w:drawing>
          <wp:inline distT="0" distB="0" distL="0" distR="0">
            <wp:extent cx="4605655" cy="1405255"/>
            <wp:effectExtent l="0" t="0" r="444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5655" cy="1405255"/>
                    </a:xfrm>
                    <a:prstGeom prst="rect">
                      <a:avLst/>
                    </a:prstGeom>
                    <a:solidFill>
                      <a:srgbClr val="FFFFFF">
                        <a:alpha val="0"/>
                      </a:srgbClr>
                    </a:solidFill>
                    <a:ln>
                      <a:noFill/>
                    </a:ln>
                  </pic:spPr>
                </pic:pic>
              </a:graphicData>
            </a:graphic>
          </wp:inline>
        </w:drawing>
      </w:r>
    </w:p>
    <w:p w:rsidR="00200DAB" w:rsidRPr="00200DAB" w:rsidRDefault="00200DAB" w:rsidP="00200DAB">
      <w:pPr>
        <w:tabs>
          <w:tab w:val="left" w:pos="1540"/>
        </w:tabs>
      </w:pPr>
    </w:p>
    <w:p w:rsidR="00200DAB" w:rsidRPr="00200DAB" w:rsidRDefault="00200DAB" w:rsidP="00200DAB">
      <w:pPr>
        <w:pStyle w:val="Titre4"/>
        <w:rPr>
          <w:color w:val="auto"/>
        </w:rPr>
      </w:pPr>
      <w:r w:rsidRPr="00200DAB">
        <w:rPr>
          <w:color w:val="auto"/>
        </w:rPr>
        <w:t xml:space="preserve">Système de réservation des salles </w:t>
      </w:r>
    </w:p>
    <w:p w:rsidR="00200DAB" w:rsidRPr="00200DAB" w:rsidRDefault="00200DAB" w:rsidP="00200DAB">
      <w:pPr>
        <w:spacing w:before="160" w:after="80"/>
        <w:jc w:val="both"/>
        <w:rPr>
          <w:rFonts w:ascii="Calibri" w:hAnsi="Calibri" w:cs="Calibri"/>
        </w:rPr>
      </w:pPr>
      <w:r w:rsidRPr="00200DAB">
        <w:rPr>
          <w:rFonts w:ascii="Calibri" w:hAnsi="Calibri" w:cs="Calibri"/>
        </w:rPr>
        <w:t>La M2L met à disposition des ligues un site web de réservation des salles (réunions, amphithéâtre, restauration). Ce site est accessible en intranet, mais aussi depuis l'internet. Les réservations payantes sont facturées par la Région aux utilisateurs. L’administration de la M2L lui communique les informations nécessaires à cette facturation de façon hebdomadaire.</w:t>
      </w:r>
    </w:p>
    <w:p w:rsidR="00200DAB" w:rsidRPr="00200DAB" w:rsidRDefault="00200DAB" w:rsidP="00200DAB">
      <w:pPr>
        <w:tabs>
          <w:tab w:val="left" w:pos="1540"/>
        </w:tabs>
      </w:pPr>
    </w:p>
    <w:sectPr w:rsidR="00200DAB" w:rsidRPr="00200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AB"/>
    <w:rsid w:val="00200DAB"/>
    <w:rsid w:val="00A20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9E8F"/>
  <w15:chartTrackingRefBased/>
  <w15:docId w15:val="{CD102E9E-8C3B-4CD4-A35E-C87680C4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qFormat/>
    <w:rsid w:val="00200DAB"/>
    <w:pPr>
      <w:numPr>
        <w:ilvl w:val="2"/>
        <w:numId w:val="1"/>
      </w:numPr>
      <w:suppressAutoHyphens/>
      <w:spacing w:after="0" w:line="240" w:lineRule="auto"/>
      <w:outlineLvl w:val="2"/>
    </w:pPr>
    <w:rPr>
      <w:rFonts w:ascii="Arial" w:eastAsia="Times New Roman" w:hAnsi="Arial" w:cs="Arial"/>
      <w:b/>
      <w:bCs/>
      <w:color w:val="000080"/>
      <w:sz w:val="20"/>
      <w:szCs w:val="20"/>
      <w:lang w:eastAsia="ar-SA"/>
    </w:rPr>
  </w:style>
  <w:style w:type="paragraph" w:styleId="Titre4">
    <w:name w:val="heading 4"/>
    <w:basedOn w:val="Normal"/>
    <w:next w:val="Normal"/>
    <w:link w:val="Titre4Car"/>
    <w:qFormat/>
    <w:rsid w:val="00200DAB"/>
    <w:pPr>
      <w:numPr>
        <w:ilvl w:val="3"/>
        <w:numId w:val="1"/>
      </w:numPr>
      <w:suppressAutoHyphens/>
      <w:spacing w:after="0" w:line="240" w:lineRule="auto"/>
      <w:outlineLvl w:val="3"/>
    </w:pPr>
    <w:rPr>
      <w:rFonts w:ascii="Arial" w:eastAsia="Times New Roman" w:hAnsi="Arial" w:cs="Arial"/>
      <w:i/>
      <w:iCs/>
      <w:color w:val="000080"/>
      <w:sz w:val="20"/>
      <w:szCs w:val="20"/>
      <w:lang w:eastAsia="ar-SA"/>
    </w:rPr>
  </w:style>
  <w:style w:type="paragraph" w:styleId="Titre5">
    <w:name w:val="heading 5"/>
    <w:basedOn w:val="Titre4"/>
    <w:next w:val="Normal"/>
    <w:link w:val="Titre5Car"/>
    <w:qFormat/>
    <w:rsid w:val="00200DAB"/>
    <w:pPr>
      <w:numPr>
        <w:ilvl w:val="4"/>
      </w:num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200DAB"/>
    <w:rPr>
      <w:rFonts w:ascii="Arial" w:eastAsia="Times New Roman" w:hAnsi="Arial" w:cs="Arial"/>
      <w:b/>
      <w:bCs/>
      <w:color w:val="000080"/>
      <w:sz w:val="20"/>
      <w:szCs w:val="20"/>
      <w:lang w:eastAsia="ar-SA"/>
    </w:rPr>
  </w:style>
  <w:style w:type="character" w:customStyle="1" w:styleId="Titre4Car">
    <w:name w:val="Titre 4 Car"/>
    <w:basedOn w:val="Policepardfaut"/>
    <w:link w:val="Titre4"/>
    <w:rsid w:val="00200DAB"/>
    <w:rPr>
      <w:rFonts w:ascii="Arial" w:eastAsia="Times New Roman" w:hAnsi="Arial" w:cs="Arial"/>
      <w:i/>
      <w:iCs/>
      <w:color w:val="000080"/>
      <w:sz w:val="20"/>
      <w:szCs w:val="20"/>
      <w:lang w:eastAsia="ar-SA"/>
    </w:rPr>
  </w:style>
  <w:style w:type="character" w:customStyle="1" w:styleId="Titre5Car">
    <w:name w:val="Titre 5 Car"/>
    <w:basedOn w:val="Policepardfaut"/>
    <w:link w:val="Titre5"/>
    <w:rsid w:val="00200DAB"/>
    <w:rPr>
      <w:rFonts w:ascii="Arial" w:eastAsia="Times New Roman" w:hAnsi="Arial" w:cs="Arial"/>
      <w:iCs/>
      <w:color w:val="00008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813</Words>
  <Characters>4472</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soufflard</dc:creator>
  <cp:keywords/>
  <dc:description/>
  <cp:lastModifiedBy>mathieu soufflard</cp:lastModifiedBy>
  <cp:revision>1</cp:revision>
  <dcterms:created xsi:type="dcterms:W3CDTF">2020-03-07T16:58:00Z</dcterms:created>
  <dcterms:modified xsi:type="dcterms:W3CDTF">2020-03-07T17:10:00Z</dcterms:modified>
</cp:coreProperties>
</file>