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aps/>
          <w:color w:val="566573"/>
          <w:sz w:val="28"/>
          <w:szCs w:val="28"/>
        </w:rPr>
        <w:t xml:space="preserve">INVESTIGACIÓN DE MERCADO</w:t>
      </w:r>
    </w:p>
    <w:p>
      <w:pPr>
        <w:pBdr>
          <w:bottom w:val="single" w:color="1B4F72" w:sz="6" w:space="8"/>
        </w:pBdr>
        <w:spacing w:after="100"/>
        <w:jc w:val="center"/>
      </w:pPr>
      <w:r>
        <w:rPr>
          <w:rFonts w:ascii="Arial" w:cs="Arial" w:eastAsia="Arial" w:hAnsi="Arial"/>
          <w:b/>
          <w:bCs/>
          <w:color w:val="1B4F72"/>
          <w:sz w:val="52"/>
          <w:szCs w:val="52"/>
        </w:rPr>
        <w:t xml:space="preserve">Gestoría Digital Automotor</w:t>
      </w:r>
    </w:p>
    <w:p>
      <w:pPr>
        <w:spacing w:after="400" w:before="200"/>
        <w:jc w:val="center"/>
      </w:pPr>
      <w:r>
        <w:rPr>
          <w:rFonts w:ascii="Arial" w:cs="Arial" w:eastAsia="Arial" w:hAnsi="Arial"/>
          <w:color w:val="566573"/>
          <w:sz w:val="26"/>
          <w:szCs w:val="26"/>
        </w:rPr>
        <w:t xml:space="preserve">Modelos de referencia en Chile y España
Oportunidad de mercado en Argentina</w:t>
      </w:r>
    </w:p>
    <w:p>
      <w:pPr>
        <w:spacing w:before="2000"/>
      </w:pPr>
    </w:p>
    <w:p>
      <w:pPr>
        <w:jc w:val="center"/>
      </w:pPr>
      <w:r>
        <w:rPr>
          <w:rFonts w:ascii="Arial" w:cs="Arial" w:eastAsia="Arial" w:hAnsi="Arial"/>
          <w:color w:val="566573"/>
          <w:sz w:val="22"/>
          <w:szCs w:val="22"/>
        </w:rPr>
        <w:t xml:space="preserve">Preparado para: GestorIA</w:t>
      </w:r>
    </w:p>
    <w:p>
      <w:pPr>
        <w:spacing w:after="100"/>
        <w:jc w:val="center"/>
      </w:pPr>
      <w:r>
        <w:rPr>
          <w:rFonts w:ascii="Arial" w:cs="Arial" w:eastAsia="Arial" w:hAnsi="Arial"/>
          <w:color w:val="566573"/>
          <w:sz w:val="22"/>
          <w:szCs w:val="22"/>
        </w:rPr>
        <w:t xml:space="preserve">Febrero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Resumen Ejecutivo</w:t>
      </w:r>
    </w:p>
    <w:p>
      <w:pPr>
        <w:spacing w:after="160"/>
        <w:jc w:val="both"/>
      </w:pPr>
      <w:r>
        <w:rPr>
          <w:rFonts w:ascii="Arial" w:cs="Arial" w:eastAsia="Arial" w:hAnsi="Arial"/>
          <w:color w:val="1C2833"/>
          <w:sz w:val="22"/>
          <w:szCs w:val="22"/>
        </w:rPr>
        <w:t xml:space="preserve">Este informe analiza en profundidad dos modelos exitosos de gestoría digital vehicular: ICAR en Chile y Gesthispania en España. Ambos han logrado digitalizar procesos que históricamente requerían presencia física, largas filas y múltiples intermediarios. El objetivo es evaluar la viabilidad de replicar y adaptar estos modelos al mercado argentino de transferencias de autos y motos.</w:t>
      </w:r>
    </w:p>
    <w:p>
      <w:pPr>
        <w:spacing w:after="160"/>
        <w:jc w:val="both"/>
      </w:pPr>
      <w:r>
        <w:rPr>
          <w:rFonts w:ascii="Arial" w:cs="Arial" w:eastAsia="Arial" w:hAnsi="Arial"/>
          <w:color w:val="1C2833"/>
          <w:sz w:val="22"/>
          <w:szCs w:val="22"/>
        </w:rPr>
        <w:t xml:space="preserve">Argentina atraviesa un momento de transformación regulatoria sin precedentes: el gobierno de Milei impulsa la desregulación del registro automotor, el formulario 08 ya es digital, y el 70% de las transferencias se procesan por vía electrónica. Sin embargo, aún no existe un actor privado que ofrezca una experiencia integral, 100% digital y de punta a punta como ICAR en Chile. Esta es la oportunidad.</w:t>
      </w:r>
    </w:p>
    <w:p>
      <w:r>
        <w:br w:type="page"/>
      </w:r>
    </w:p>
    <w:p>
      <w:pPr>
        <w:pStyle w:val="Heading1"/>
        <w:spacing w:after="200" w:before="360"/>
      </w:pPr>
      <w:r>
        <w:rPr>
          <w:rFonts w:ascii="Arial" w:cs="Arial" w:eastAsia="Arial" w:hAnsi="Arial"/>
          <w:b/>
          <w:bCs/>
          <w:color w:val="1B4F72"/>
          <w:sz w:val="32"/>
          <w:szCs w:val="32"/>
        </w:rPr>
        <w:t xml:space="preserve">2. ICAR — Chile</w:t>
      </w:r>
    </w:p>
    <w:p>
      <w:pPr>
        <w:pStyle w:val="Heading2"/>
        <w:spacing w:after="160" w:before="280"/>
      </w:pPr>
      <w:r>
        <w:rPr>
          <w:rFonts w:ascii="Arial" w:cs="Arial" w:eastAsia="Arial" w:hAnsi="Arial"/>
          <w:b/>
          <w:bCs/>
          <w:color w:val="1B4F72"/>
          <w:sz w:val="26"/>
          <w:szCs w:val="26"/>
        </w:rPr>
        <w:t xml:space="preserve">2.1 Origen y Trayectoria</w:t>
      </w:r>
    </w:p>
    <w:p>
      <w:pPr>
        <w:spacing w:after="160"/>
        <w:jc w:val="both"/>
      </w:pPr>
      <w:r>
        <w:rPr>
          <w:rFonts w:ascii="Arial" w:cs="Arial" w:eastAsia="Arial" w:hAnsi="Arial"/>
          <w:color w:val="1C2833"/>
          <w:sz w:val="22"/>
          <w:szCs w:val="22"/>
        </w:rPr>
        <w:t xml:space="preserve">ICAR nació en 2016 como una iniciativa conjunta entre Acepta (empresa de facturación electrónica) y la ANAC (Asociación Nacional Automotriz de Chile), en el marco del programa de transformación digital del Estado chileno. Su primer producto fue la digitalización de la primera inscripción vehicular ante el Registro Civil. Desde entonces, se ha expandido para cubrir todo el ciclo de vida del vehículo.</w:t>
      </w:r>
    </w:p>
    <w:p>
      <w:pPr>
        <w:spacing w:after="160"/>
        <w:jc w:val="both"/>
      </w:pPr>
      <w:r>
        <w:rPr>
          <w:rFonts w:ascii="Arial" w:cs="Arial" w:eastAsia="Arial" w:hAnsi="Arial"/>
          <w:color w:val="1C2833"/>
          <w:sz w:val="22"/>
          <w:szCs w:val="22"/>
        </w:rPr>
        <w:t xml:space="preserve">Hoy, ICAR opera desde Las Condes, Santiago de Chile, bajo el liderazgo de Rodolfo Cuevas y Rodrigo Millar, y procesa más de 50.000 operaciones mensuales.</w:t>
      </w:r>
    </w:p>
    <w:p>
      <w:pPr>
        <w:pStyle w:val="Heading2"/>
        <w:spacing w:after="160" w:before="280"/>
      </w:pPr>
      <w:r>
        <w:rPr>
          <w:rFonts w:ascii="Arial" w:cs="Arial" w:eastAsia="Arial" w:hAnsi="Arial"/>
          <w:b/>
          <w:bCs/>
          <w:color w:val="1B4F72"/>
          <w:sz w:val="26"/>
          <w:szCs w:val="26"/>
        </w:rPr>
        <w:t xml:space="preserve">2.2 Modelo de Negocio</w:t>
      </w:r>
    </w:p>
    <w:p>
      <w:pPr>
        <w:spacing w:after="160"/>
        <w:jc w:val="both"/>
      </w:pPr>
      <w:r>
        <w:rPr>
          <w:rFonts w:ascii="Arial" w:cs="Arial" w:eastAsia="Arial" w:hAnsi="Arial"/>
          <w:color w:val="1C2833"/>
          <w:sz w:val="22"/>
          <w:szCs w:val="22"/>
        </w:rPr>
        <w:t xml:space="preserve">ICAR opera un ecosistema digital con dos líneas de negocio claramente diferenciadas:</w:t>
      </w:r>
    </w:p>
    <w:p>
      <w:pPr>
        <w:spacing w:after="160"/>
        <w:jc w:val="both"/>
      </w:pPr>
      <w:r>
        <w:rPr>
          <w:rFonts w:ascii="Arial" w:cs="Arial" w:eastAsia="Arial" w:hAnsi="Arial"/>
          <w:b/>
          <w:bCs/>
          <w:color w:val="1C2833"/>
          <w:sz w:val="22"/>
          <w:szCs w:val="22"/>
        </w:rPr>
        <w:t xml:space="preserve">B2C (Persona a persona): </w:t>
      </w:r>
      <w:r>
        <w:rPr>
          <w:rFonts w:ascii="Arial" w:cs="Arial" w:eastAsia="Arial" w:hAnsi="Arial"/>
          <w:color w:val="1C2833"/>
          <w:sz w:val="22"/>
          <w:szCs w:val="22"/>
        </w:rPr>
        <w:t xml:space="preserve">A través de productos como icartransfer (transferencia vehicular remota), icarcheck (informe vehicular digital) e icarwallet (portadocumentos digital móvil). El usuario paga una tarifa fija por servicio. Ejemplo: la transferencia cuesta $44.990 CLP (aproximadamente USD 45).</w:t>
      </w:r>
    </w:p>
    <w:p>
      <w:pPr>
        <w:spacing w:after="160"/>
        <w:jc w:val="both"/>
      </w:pPr>
      <w:r>
        <w:rPr>
          <w:rFonts w:ascii="Arial" w:cs="Arial" w:eastAsia="Arial" w:hAnsi="Arial"/>
          <w:b/>
          <w:bCs/>
          <w:color w:val="1C2833"/>
          <w:sz w:val="22"/>
          <w:szCs w:val="22"/>
        </w:rPr>
        <w:t xml:space="preserve">B2B (Empresas): </w:t>
      </w:r>
      <w:r>
        <w:rPr>
          <w:rFonts w:ascii="Arial" w:cs="Arial" w:eastAsia="Arial" w:hAnsi="Arial"/>
          <w:color w:val="1C2833"/>
          <w:sz w:val="22"/>
          <w:szCs w:val="22"/>
        </w:rPr>
        <w:t xml:space="preserve">Soluciones para concesionarios, importadores y financieras. Incluye API de integración, primera inscripción electrónica, homologado electrónico (usado por el 90% de las marcas del mercado), y gestión digital de prendas. Más de 100.000 informes emitidos y 25.000 inscripciones vehiculares.</w:t>
      </w:r>
    </w:p>
    <w:p>
      <w:pPr>
        <w:pStyle w:val="Heading2"/>
        <w:spacing w:after="160" w:before="280"/>
      </w:pPr>
      <w:r>
        <w:rPr>
          <w:rFonts w:ascii="Arial" w:cs="Arial" w:eastAsia="Arial" w:hAnsi="Arial"/>
          <w:b/>
          <w:bCs/>
          <w:color w:val="1B4F72"/>
          <w:sz w:val="26"/>
          <w:szCs w:val="26"/>
        </w:rPr>
        <w:t xml:space="preserve">2.3 Proceso de Transferencia (icartransfer)</w:t>
      </w:r>
    </w:p>
    <w:p>
      <w:pPr>
        <w:spacing w:after="160"/>
        <w:jc w:val="both"/>
      </w:pPr>
      <w:r>
        <w:rPr>
          <w:rFonts w:ascii="Arial" w:cs="Arial" w:eastAsia="Arial" w:hAnsi="Arial"/>
          <w:color w:val="1C2833"/>
          <w:sz w:val="22"/>
          <w:szCs w:val="22"/>
        </w:rPr>
        <w:t xml:space="preserve">El proceso se completa en 3 pasos, 100% remoto, en menos de 48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Paso</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Acción</w:t>
            </w:r>
          </w:p>
        </w:tc>
        <w:tc>
          <w:tcPr>
            <w:tcW w:type="dxa" w:w="4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Detalle</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1. Factibilidad</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Validación automática</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Se verifica que el vehículo no tenga restricciones, multas, prendas ni prohibiciones mediante Certificado de Anotaciones Vigentes.</w:t>
            </w:r>
          </w:p>
        </w:tc>
      </w:tr>
      <w:tr>
        <w:tc>
          <w:tcPr>
            <w:tcW w:type="dxa" w:w="1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2. Contrato</w:t>
            </w:r>
          </w:p>
        </w:tc>
        <w:tc>
          <w:tcPr>
            <w:tcW w:type="dxa" w:w="3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Creación y firma digital</w:t>
            </w:r>
          </w:p>
        </w:tc>
        <w:tc>
          <w:tcPr>
            <w:tcW w:type="dxa" w:w="48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Se genera automáticamente el contrato de compraventa. Ambas partes firman con Clave Única (firma electrónica avanzada con verificación biométrica).</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3. Inscripción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Registro oficial</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El contrato se registra legalmente en la institución oficial correspondiente. El comprador recibe la documentación actualizada.</w:t>
            </w:r>
          </w:p>
        </w:tc>
      </w:tr>
    </w:tbl>
    <w:p>
      <w:pPr>
        <w:spacing w:after="160"/>
      </w:pPr>
    </w:p>
    <w:p>
      <w:pPr>
        <w:pStyle w:val="Heading2"/>
        <w:spacing w:after="160" w:before="280"/>
      </w:pPr>
      <w:r>
        <w:rPr>
          <w:rFonts w:ascii="Arial" w:cs="Arial" w:eastAsia="Arial" w:hAnsi="Arial"/>
          <w:b/>
          <w:bCs/>
          <w:color w:val="1B4F72"/>
          <w:sz w:val="26"/>
          <w:szCs w:val="26"/>
        </w:rPr>
        <w:t xml:space="preserve">2.4 Marco Legal y Tecnología</w:t>
      </w:r>
    </w:p>
    <w:p>
      <w:pPr>
        <w:spacing w:after="160"/>
        <w:jc w:val="both"/>
      </w:pPr>
      <w:r>
        <w:rPr>
          <w:rFonts w:ascii="Arial" w:cs="Arial" w:eastAsia="Arial" w:hAnsi="Arial"/>
          <w:color w:val="1C2833"/>
          <w:sz w:val="22"/>
          <w:szCs w:val="22"/>
        </w:rPr>
        <w:t xml:space="preserve">ICAR opera bajo tres pilares legales: Ley N° 19.477 (registro vehicular), Ley N° 19.799 (firma electrónica avanzada) y Ley N° 19.628 (protección de datos). Utiliza firma electrónica avanzada validada por el Ministerio de Economía, que impide la adulteración de contratos, a diferencia de la firma electrónica simple.</w:t>
      </w:r>
    </w:p>
    <w:p>
      <w:pPr>
        <w:pStyle w:val="Heading2"/>
        <w:spacing w:after="160" w:before="280"/>
      </w:pPr>
      <w:r>
        <w:rPr>
          <w:rFonts w:ascii="Arial" w:cs="Arial" w:eastAsia="Arial" w:hAnsi="Arial"/>
          <w:b/>
          <w:bCs/>
          <w:color w:val="1B4F72"/>
          <w:sz w:val="26"/>
          <w:szCs w:val="26"/>
        </w:rPr>
        <w:t xml:space="preserve">2.5 Factores Clave de Éxito</w:t>
      </w:r>
    </w:p>
    <w:p>
      <w:pPr>
        <w:pStyle w:val="ListParagraph"/>
        <w:numPr>
          <w:ilvl w:val="0"/>
          <w:numId w:val="2"/>
        </w:numPr>
        <w:spacing w:after="80"/>
      </w:pPr>
      <w:r>
        <w:rPr>
          <w:rFonts w:ascii="Arial" w:cs="Arial" w:eastAsia="Arial" w:hAnsi="Arial"/>
          <w:sz w:val="22"/>
          <w:szCs w:val="22"/>
        </w:rPr>
        <w:t xml:space="preserve">Alianza estratégica con ANAC desde el inicio, lo que brindó legitimidad y acceso al mercado.</w:t>
      </w:r>
    </w:p>
    <w:p>
      <w:pPr>
        <w:pStyle w:val="ListParagraph"/>
        <w:numPr>
          <w:ilvl w:val="0"/>
          <w:numId w:val="2"/>
        </w:numPr>
        <w:spacing w:after="80"/>
      </w:pPr>
      <w:r>
        <w:rPr>
          <w:rFonts w:ascii="Arial" w:cs="Arial" w:eastAsia="Arial" w:hAnsi="Arial"/>
          <w:sz w:val="22"/>
          <w:szCs w:val="22"/>
        </w:rPr>
        <w:t xml:space="preserve">Integración con múltiples instituciones estatales (Registro Civil, Tesorería, SII, municipalidades) en un solo sistema.</w:t>
      </w:r>
    </w:p>
    <w:p>
      <w:pPr>
        <w:pStyle w:val="ListParagraph"/>
        <w:numPr>
          <w:ilvl w:val="0"/>
          <w:numId w:val="2"/>
        </w:numPr>
        <w:spacing w:after="80"/>
      </w:pPr>
      <w:r>
        <w:rPr>
          <w:rFonts w:ascii="Arial" w:cs="Arial" w:eastAsia="Arial" w:hAnsi="Arial"/>
          <w:sz w:val="22"/>
          <w:szCs w:val="22"/>
        </w:rPr>
        <w:t xml:space="preserve">Ecosistema completo: no solo transfiere, también chequea antecedentes, gestiona prendas y ofrece wallet digital.</w:t>
      </w:r>
    </w:p>
    <w:p>
      <w:pPr>
        <w:pStyle w:val="ListParagraph"/>
        <w:numPr>
          <w:ilvl w:val="0"/>
          <w:numId w:val="2"/>
        </w:numPr>
        <w:spacing w:after="160"/>
      </w:pPr>
      <w:r>
        <w:rPr>
          <w:rFonts w:ascii="Arial" w:cs="Arial" w:eastAsia="Arial" w:hAnsi="Arial"/>
          <w:sz w:val="22"/>
          <w:szCs w:val="22"/>
        </w:rPr>
        <w:t xml:space="preserve">Modelo B2B potente que genera ingresos recurrentes con concesionarios y financieras.</w:t>
      </w:r>
    </w:p>
    <w:p>
      <w:r>
        <w:br w:type="page"/>
      </w:r>
    </w:p>
    <w:p>
      <w:pPr>
        <w:pStyle w:val="Heading1"/>
        <w:spacing w:after="200" w:before="360"/>
      </w:pPr>
      <w:r>
        <w:rPr>
          <w:rFonts w:ascii="Arial" w:cs="Arial" w:eastAsia="Arial" w:hAnsi="Arial"/>
          <w:b/>
          <w:bCs/>
          <w:color w:val="1B4F72"/>
          <w:sz w:val="32"/>
          <w:szCs w:val="32"/>
        </w:rPr>
        <w:t xml:space="preserve">3. Gesthispania — España</w:t>
      </w:r>
    </w:p>
    <w:p>
      <w:pPr>
        <w:pStyle w:val="Heading2"/>
        <w:spacing w:after="160" w:before="280"/>
      </w:pPr>
      <w:r>
        <w:rPr>
          <w:rFonts w:ascii="Arial" w:cs="Arial" w:eastAsia="Arial" w:hAnsi="Arial"/>
          <w:b/>
          <w:bCs/>
          <w:color w:val="1B4F72"/>
          <w:sz w:val="26"/>
          <w:szCs w:val="26"/>
        </w:rPr>
        <w:t xml:space="preserve">3.1 Origen y Trayectoria</w:t>
      </w:r>
    </w:p>
    <w:p>
      <w:pPr>
        <w:spacing w:after="160"/>
        <w:jc w:val="both"/>
      </w:pPr>
      <w:r>
        <w:rPr>
          <w:rFonts w:ascii="Arial" w:cs="Arial" w:eastAsia="Arial" w:hAnsi="Arial"/>
          <w:color w:val="1C2833"/>
          <w:sz w:val="22"/>
          <w:szCs w:val="22"/>
        </w:rPr>
        <w:t xml:space="preserve">Gesthispania nació en 1999 como Gestoría Reina Millán en Córdoba, España. En apenas 4 años, se transformó en una red de 8 gestorías asociadas bajo la marca Gesthispania. Hoy, con más de 20 años de operación, tiene oficinas en Córdoba, Madrid, Granada y Lisboa (Portugal), y atiende a clientes como Heinz, Avis, Hertz y Sixt.</w:t>
      </w:r>
    </w:p>
    <w:p>
      <w:pPr>
        <w:pStyle w:val="Heading2"/>
        <w:spacing w:after="160" w:before="280"/>
      </w:pPr>
      <w:r>
        <w:rPr>
          <w:rFonts w:ascii="Arial" w:cs="Arial" w:eastAsia="Arial" w:hAnsi="Arial"/>
          <w:b/>
          <w:bCs/>
          <w:color w:val="1B4F72"/>
          <w:sz w:val="26"/>
          <w:szCs w:val="26"/>
        </w:rPr>
        <w:t xml:space="preserve">3.2 Modelo de Negocio</w:t>
      </w:r>
    </w:p>
    <w:p>
      <w:pPr>
        <w:spacing w:after="160"/>
        <w:jc w:val="both"/>
      </w:pPr>
      <w:r>
        <w:rPr>
          <w:rFonts w:ascii="Arial" w:cs="Arial" w:eastAsia="Arial" w:hAnsi="Arial"/>
          <w:color w:val="1C2833"/>
          <w:sz w:val="22"/>
          <w:szCs w:val="22"/>
        </w:rPr>
        <w:t xml:space="preserve">A diferencia de ICAR (que es primariamente B2C), Gesthispania se enfoca en el segmento B2B/enterprise: flotas vehiculares, empresas de renting y leasing, y grandes corporaciones. Su modelo se basa en:</w:t>
      </w:r>
    </w:p>
    <w:p>
      <w:pPr>
        <w:spacing w:after="160"/>
        <w:jc w:val="both"/>
      </w:pPr>
      <w:r>
        <w:rPr>
          <w:rFonts w:ascii="Arial" w:cs="Arial" w:eastAsia="Arial" w:hAnsi="Arial"/>
          <w:b/>
          <w:bCs/>
          <w:color w:val="1C2833"/>
          <w:sz w:val="22"/>
          <w:szCs w:val="22"/>
        </w:rPr>
        <w:t xml:space="preserve">Gestoría de Vehículos: </w:t>
      </w:r>
      <w:r>
        <w:rPr>
          <w:rFonts w:ascii="Arial" w:cs="Arial" w:eastAsia="Arial" w:hAnsi="Arial"/>
          <w:color w:val="1C2833"/>
          <w:sz w:val="22"/>
          <w:szCs w:val="22"/>
        </w:rPr>
        <w:t xml:space="preserve">Gestión integral del ciclo administrativo del vehículo: matriculaciones, transferencias, permisos de circulación duplicados, informes de tráfico, altas y bajas, bonificaciones del IVTM, y custodia digital de documentos. Procesan más de 45.000 trámites anuales.</w:t>
      </w:r>
    </w:p>
    <w:p>
      <w:pPr>
        <w:spacing w:after="160"/>
        <w:jc w:val="both"/>
      </w:pPr>
      <w:r>
        <w:rPr>
          <w:rFonts w:ascii="Arial" w:cs="Arial" w:eastAsia="Arial" w:hAnsi="Arial"/>
          <w:b/>
          <w:bCs/>
          <w:color w:val="1C2833"/>
          <w:sz w:val="22"/>
          <w:szCs w:val="22"/>
        </w:rPr>
        <w:t xml:space="preserve">Gestión de Multas: </w:t>
      </w:r>
      <w:r>
        <w:rPr>
          <w:rFonts w:ascii="Arial" w:cs="Arial" w:eastAsia="Arial" w:hAnsi="Arial"/>
          <w:color w:val="1C2833"/>
          <w:sz w:val="22"/>
          <w:szCs w:val="22"/>
        </w:rPr>
        <w:t xml:space="preserve">Recepción, control, búsqueda de información, gestión de incidencias, identificación de infractores y tramitación de multas nacionales e internacionales. Esto es crítico para empresas de alquiler de autos.</w:t>
      </w:r>
    </w:p>
    <w:p>
      <w:pPr>
        <w:pStyle w:val="Heading2"/>
        <w:spacing w:after="160" w:before="280"/>
      </w:pPr>
      <w:r>
        <w:rPr>
          <w:rFonts w:ascii="Arial" w:cs="Arial" w:eastAsia="Arial" w:hAnsi="Arial"/>
          <w:b/>
          <w:bCs/>
          <w:color w:val="1B4F72"/>
          <w:sz w:val="26"/>
          <w:szCs w:val="26"/>
        </w:rPr>
        <w:t xml:space="preserve">3.3 Suite Tecnológica</w:t>
      </w:r>
    </w:p>
    <w:p>
      <w:pPr>
        <w:spacing w:after="160"/>
        <w:jc w:val="both"/>
      </w:pPr>
      <w:r>
        <w:rPr>
          <w:rFonts w:ascii="Arial" w:cs="Arial" w:eastAsia="Arial" w:hAnsi="Arial"/>
          <w:color w:val="1C2833"/>
          <w:sz w:val="22"/>
          <w:szCs w:val="22"/>
        </w:rPr>
        <w:t xml:space="preserve">Gesthispania ha desarrollado múltiples plataformas digitales especializadas: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Plataforma</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Función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Gesthionline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Plataforma central de gestión 100% digital para todos los trámites.</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Mira Tus Multas</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Monitoreo de multas de flota, gestión de vehículos y conductores.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Pay Your Fines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Portal de pago de multas para vehículos de alquiler.</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Direct CAYC</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Integración automatizada con la DGT para comunicación con arrendatarios.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Webportal</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Seguimiento en tiempo real del estado de cada trámite.</w:t>
            </w:r>
          </w:p>
        </w:tc>
      </w:tr>
    </w:tbl>
    <w:p>
      <w:pPr>
        <w:spacing w:after="160"/>
      </w:pPr>
    </w:p>
    <w:p>
      <w:pPr>
        <w:pStyle w:val="Heading2"/>
        <w:spacing w:after="160" w:before="280"/>
      </w:pPr>
      <w:r>
        <w:rPr>
          <w:rFonts w:ascii="Arial" w:cs="Arial" w:eastAsia="Arial" w:hAnsi="Arial"/>
          <w:b/>
          <w:bCs/>
          <w:color w:val="1B4F72"/>
          <w:sz w:val="26"/>
          <w:szCs w:val="26"/>
        </w:rPr>
        <w:t xml:space="preserve">3.4 Diferenciadores Clave</w:t>
      </w:r>
    </w:p>
    <w:p>
      <w:pPr>
        <w:pStyle w:val="ListParagraph"/>
        <w:numPr>
          <w:ilvl w:val="0"/>
          <w:numId w:val="2"/>
        </w:numPr>
        <w:spacing w:after="80"/>
      </w:pPr>
      <w:r>
        <w:rPr>
          <w:rFonts w:ascii="Arial" w:cs="Arial" w:eastAsia="Arial" w:hAnsi="Arial"/>
          <w:sz w:val="22"/>
          <w:szCs w:val="22"/>
        </w:rPr>
        <w:t xml:space="preserve">Cobertura nacional con SLAs contractuales que garantizan tiempos de respuesta.</w:t>
      </w:r>
    </w:p>
    <w:p>
      <w:pPr>
        <w:pStyle w:val="ListParagraph"/>
        <w:numPr>
          <w:ilvl w:val="0"/>
          <w:numId w:val="2"/>
        </w:numPr>
        <w:spacing w:after="80"/>
      </w:pPr>
      <w:r>
        <w:rPr>
          <w:rFonts w:ascii="Arial" w:cs="Arial" w:eastAsia="Arial" w:hAnsi="Arial"/>
          <w:sz w:val="22"/>
          <w:szCs w:val="22"/>
        </w:rPr>
        <w:t xml:space="preserve">Integración vía API con los sistemas internos de sus clientes corporativos.</w:t>
      </w:r>
    </w:p>
    <w:p>
      <w:pPr>
        <w:pStyle w:val="ListParagraph"/>
        <w:numPr>
          <w:ilvl w:val="0"/>
          <w:numId w:val="2"/>
        </w:numPr>
        <w:spacing w:after="80"/>
      </w:pPr>
      <w:r>
        <w:rPr>
          <w:rFonts w:ascii="Arial" w:cs="Arial" w:eastAsia="Arial" w:hAnsi="Arial"/>
          <w:sz w:val="22"/>
          <w:szCs w:val="22"/>
        </w:rPr>
        <w:t xml:space="preserve">Equipos especializados que trabajan in-situ en las instalaciones del cliente.</w:t>
      </w:r>
    </w:p>
    <w:p>
      <w:pPr>
        <w:pStyle w:val="ListParagraph"/>
        <w:numPr>
          <w:ilvl w:val="0"/>
          <w:numId w:val="2"/>
        </w:numPr>
        <w:spacing w:after="160"/>
      </w:pPr>
      <w:r>
        <w:rPr>
          <w:rFonts w:ascii="Arial" w:cs="Arial" w:eastAsia="Arial" w:hAnsi="Arial"/>
          <w:sz w:val="22"/>
          <w:szCs w:val="22"/>
        </w:rPr>
        <w:t xml:space="preserve">Asesoría legal integrada y custodia logística de documentos físicos.</w:t>
      </w:r>
    </w:p>
    <w:p>
      <w:r>
        <w:br w:type="page"/>
      </w:r>
    </w:p>
    <w:p>
      <w:pPr>
        <w:pStyle w:val="Heading1"/>
        <w:spacing w:after="200" w:before="360"/>
      </w:pPr>
      <w:r>
        <w:rPr>
          <w:rFonts w:ascii="Arial" w:cs="Arial" w:eastAsia="Arial" w:hAnsi="Arial"/>
          <w:b/>
          <w:bCs/>
          <w:color w:val="1B4F72"/>
          <w:sz w:val="32"/>
          <w:szCs w:val="32"/>
        </w:rPr>
        <w:t xml:space="preserve">4. Comparación de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Dimensión</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ICAR (Chile)</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Gesthispania (España)</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Fundación</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2016</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1999</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Foco principal</w:t>
            </w:r>
          </w:p>
        </w:tc>
        <w:tc>
          <w:tcPr>
            <w:tcW w:type="dxa" w:w="35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B2C + B2B. Personas y empresas.</w:t>
            </w:r>
          </w:p>
        </w:tc>
        <w:tc>
          <w:tcPr>
            <w:tcW w:type="dxa" w:w="35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B2B. Grandes flotas y corporaciones.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Servicio estrella</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Transferencia vehicular 100% remota en 48hs.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Gestión integral de flotas + multas.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Tecnología</w:t>
            </w:r>
          </w:p>
        </w:tc>
        <w:tc>
          <w:tcPr>
            <w:tcW w:type="dxa" w:w="35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Firma electrónica avanzada, biometría, wallet móvil, API.</w:t>
            </w:r>
          </w:p>
        </w:tc>
        <w:tc>
          <w:tcPr>
            <w:tcW w:type="dxa" w:w="35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Plataformas propias, integración DGT, API empresarial.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Volumen</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50.000 operaciones/mes.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45.000 trámites/año.</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Precio (transferencia)</w:t>
            </w:r>
          </w:p>
        </w:tc>
        <w:tc>
          <w:tcPr>
            <w:tcW w:type="dxa" w:w="35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~USD 45 (tarifa fija).</w:t>
            </w:r>
          </w:p>
        </w:tc>
        <w:tc>
          <w:tcPr>
            <w:tcW w:type="dxa" w:w="35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No publicado (contratos corporativos).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Presencia geográfica</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Chile.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España y Portugal.</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Clientes clave</w:t>
            </w:r>
          </w:p>
        </w:tc>
        <w:tc>
          <w:tcPr>
            <w:tcW w:type="dxa" w:w="35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Concesionarios, importadores, financieras, particulares.</w:t>
            </w:r>
          </w:p>
        </w:tc>
        <w:tc>
          <w:tcPr>
            <w:tcW w:type="dxa" w:w="35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Avis, Hertz, Sixt, Heinz, empresas de renting.</w:t>
            </w:r>
          </w:p>
        </w:tc>
      </w:tr>
    </w:tbl>
    <w:p>
      <w:pPr>
        <w:spacing w:after="200"/>
      </w:pPr>
    </w:p>
    <w:p>
      <w:pPr>
        <w:spacing w:after="160"/>
        <w:jc w:val="both"/>
      </w:pPr>
      <w:r>
        <w:rPr>
          <w:rFonts w:ascii="Arial" w:cs="Arial" w:eastAsia="Arial" w:hAnsi="Arial"/>
          <w:color w:val="1C2833"/>
          <w:sz w:val="22"/>
          <w:szCs w:val="22"/>
        </w:rPr>
        <w:t xml:space="preserve">La lección clave es que ambos modelos son complementarios: ICAR demuestra que se puede crear una plataforma masiva B2C para transferencias rápidas, mientras que Gesthispania demuestra que el negocio B2B de gestión de flotas y multas genera ingresos recurrentes y de alto valor.</w:t>
      </w:r>
    </w:p>
    <w:p>
      <w:r>
        <w:br w:type="page"/>
      </w:r>
    </w:p>
    <w:p>
      <w:pPr>
        <w:pStyle w:val="Heading1"/>
        <w:spacing w:after="200" w:before="360"/>
      </w:pPr>
      <w:r>
        <w:rPr>
          <w:rFonts w:ascii="Arial" w:cs="Arial" w:eastAsia="Arial" w:hAnsi="Arial"/>
          <w:b/>
          <w:bCs/>
          <w:color w:val="1B4F72"/>
          <w:sz w:val="32"/>
          <w:szCs w:val="32"/>
        </w:rPr>
        <w:t xml:space="preserve">5. El Mercado Argentino</w:t>
      </w:r>
    </w:p>
    <w:p>
      <w:pPr>
        <w:pStyle w:val="Heading2"/>
        <w:spacing w:after="160" w:before="280"/>
      </w:pPr>
      <w:r>
        <w:rPr>
          <w:rFonts w:ascii="Arial" w:cs="Arial" w:eastAsia="Arial" w:hAnsi="Arial"/>
          <w:b/>
          <w:bCs/>
          <w:color w:val="1B4F72"/>
          <w:sz w:val="26"/>
          <w:szCs w:val="26"/>
        </w:rPr>
        <w:t xml:space="preserve">5.1 Cómo Funciona Hoy la Transferencia</w:t>
      </w:r>
    </w:p>
    <w:p>
      <w:pPr>
        <w:spacing w:after="160"/>
        <w:jc w:val="both"/>
      </w:pPr>
      <w:r>
        <w:rPr>
          <w:rFonts w:ascii="Arial" w:cs="Arial" w:eastAsia="Arial" w:hAnsi="Arial"/>
          <w:color w:val="1C2833"/>
          <w:sz w:val="22"/>
          <w:szCs w:val="22"/>
        </w:rPr>
        <w:t xml:space="preserve">En Argentina, la transferencia vehicular está regulada por la Dirección Nacional de los Registros de la Propiedad del Automotor (DNRPA), dependiente del Ministerio de Justicia. El proceso actual combina etapas digitales y presenciales:</w:t>
      </w:r>
    </w:p>
    <w:p>
      <w:pPr>
        <w:pStyle w:val="ListParagraph"/>
        <w:numPr>
          <w:ilvl w:val="0"/>
          <w:numId w:val="3"/>
        </w:numPr>
        <w:spacing w:after="80"/>
      </w:pPr>
      <w:r>
        <w:rPr>
          <w:rFonts w:ascii="Arial" w:cs="Arial" w:eastAsia="Arial" w:hAnsi="Arial"/>
          <w:sz w:val="22"/>
          <w:szCs w:val="22"/>
        </w:rPr>
        <w:t xml:space="preserve">Precarga digital del Formulario 08 en el portal DNRPA (datos del comprador y vendedor).</w:t>
      </w:r>
    </w:p>
    <w:p>
      <w:pPr>
        <w:pStyle w:val="ListParagraph"/>
        <w:numPr>
          <w:ilvl w:val="0"/>
          <w:numId w:val="3"/>
        </w:numPr>
        <w:spacing w:after="80"/>
      </w:pPr>
      <w:r>
        <w:rPr>
          <w:rFonts w:ascii="Arial" w:cs="Arial" w:eastAsia="Arial" w:hAnsi="Arial"/>
          <w:sz w:val="22"/>
          <w:szCs w:val="22"/>
        </w:rPr>
        <w:t xml:space="preserve">Verificación policial vigente del vehículo.</w:t>
      </w:r>
    </w:p>
    <w:p>
      <w:pPr>
        <w:pStyle w:val="ListParagraph"/>
        <w:numPr>
          <w:ilvl w:val="0"/>
          <w:numId w:val="3"/>
        </w:numPr>
        <w:spacing w:after="80"/>
      </w:pPr>
      <w:r>
        <w:rPr>
          <w:rFonts w:ascii="Arial" w:cs="Arial" w:eastAsia="Arial" w:hAnsi="Arial"/>
          <w:sz w:val="22"/>
          <w:szCs w:val="22"/>
        </w:rPr>
        <w:t xml:space="preserve">Formulario 13 (certificado de inexistencia de infracciones).</w:t>
      </w:r>
    </w:p>
    <w:p>
      <w:pPr>
        <w:pStyle w:val="ListParagraph"/>
        <w:numPr>
          <w:ilvl w:val="0"/>
          <w:numId w:val="3"/>
        </w:numPr>
        <w:spacing w:after="80"/>
      </w:pPr>
      <w:r>
        <w:rPr>
          <w:rFonts w:ascii="Arial" w:cs="Arial" w:eastAsia="Arial" w:hAnsi="Arial"/>
          <w:sz w:val="22"/>
          <w:szCs w:val="22"/>
        </w:rPr>
        <w:t xml:space="preserve">Presentación presencial en un Registro del Automotor con turno digital.</w:t>
      </w:r>
    </w:p>
    <w:p>
      <w:pPr>
        <w:pStyle w:val="ListParagraph"/>
        <w:numPr>
          <w:ilvl w:val="0"/>
          <w:numId w:val="3"/>
        </w:numPr>
        <w:spacing w:after="160"/>
      </w:pPr>
      <w:r>
        <w:rPr>
          <w:rFonts w:ascii="Arial" w:cs="Arial" w:eastAsia="Arial" w:hAnsi="Arial"/>
          <w:sz w:val="22"/>
          <w:szCs w:val="22"/>
        </w:rPr>
        <w:t xml:space="preserve">Para operaciones mayores a ~$92 millones ARS, integración con AFIP-ARCA-UIF.</w:t>
      </w:r>
    </w:p>
    <w:p>
      <w:pPr>
        <w:spacing w:after="160"/>
        <w:jc w:val="both"/>
      </w:pPr>
      <w:r>
        <w:rPr>
          <w:rFonts w:ascii="Arial" w:cs="Arial" w:eastAsia="Arial" w:hAnsi="Arial"/>
          <w:color w:val="1C2833"/>
          <w:sz w:val="22"/>
          <w:szCs w:val="22"/>
        </w:rPr>
        <w:t xml:space="preserve">El costo actual es del 1% del valor del vehículo (antes era 1,5% para nacionales y 2% para importados), más impuestos provinciales (ej: 3% de sellos en Buenos Aires). Incluye título, cédula, certificación de hasta dos firmas.</w:t>
      </w:r>
    </w:p>
    <w:p>
      <w:pPr>
        <w:pStyle w:val="Heading2"/>
        <w:spacing w:after="160" w:before="280"/>
      </w:pPr>
      <w:r>
        <w:rPr>
          <w:rFonts w:ascii="Arial" w:cs="Arial" w:eastAsia="Arial" w:hAnsi="Arial"/>
          <w:b/>
          <w:bCs/>
          <w:color w:val="1B4F72"/>
          <w:sz w:val="26"/>
          <w:szCs w:val="26"/>
        </w:rPr>
        <w:t xml:space="preserve">5.2 Reformas del Gobierno Milei (DNU 70/2023)</w:t>
      </w:r>
    </w:p>
    <w:p>
      <w:pPr>
        <w:spacing w:after="160"/>
        <w:jc w:val="both"/>
      </w:pPr>
      <w:r>
        <w:rPr>
          <w:rFonts w:ascii="Arial" w:cs="Arial" w:eastAsia="Arial" w:hAnsi="Arial"/>
          <w:color w:val="1C2833"/>
          <w:sz w:val="22"/>
          <w:szCs w:val="22"/>
        </w:rPr>
        <w:t xml:space="preserve">El gobierno actual impulsó cambios profundos en el sistema registral automotor:</w:t>
      </w:r>
    </w:p>
    <w:p>
      <w:pPr>
        <w:pStyle w:val="ListParagraph"/>
        <w:numPr>
          <w:ilvl w:val="0"/>
          <w:numId w:val="2"/>
        </w:numPr>
        <w:spacing w:after="80"/>
      </w:pPr>
      <w:r>
        <w:rPr>
          <w:rFonts w:ascii="Arial" w:cs="Arial" w:eastAsia="Arial" w:hAnsi="Arial"/>
          <w:sz w:val="22"/>
          <w:szCs w:val="22"/>
        </w:rPr>
        <w:t xml:space="preserve">Reducción del arancel de transferencia al 1% del valor del bien.</w:t>
      </w:r>
    </w:p>
    <w:p>
      <w:pPr>
        <w:pStyle w:val="ListParagraph"/>
        <w:numPr>
          <w:ilvl w:val="0"/>
          <w:numId w:val="2"/>
        </w:numPr>
        <w:spacing w:after="80"/>
      </w:pPr>
      <w:r>
        <w:rPr>
          <w:rFonts w:ascii="Arial" w:cs="Arial" w:eastAsia="Arial" w:hAnsi="Arial"/>
          <w:sz w:val="22"/>
          <w:szCs w:val="22"/>
        </w:rPr>
        <w:t xml:space="preserve">Eliminación del cobro por cédulas, títulos, chapas y certificación de firmas.</w:t>
      </w:r>
    </w:p>
    <w:p>
      <w:pPr>
        <w:pStyle w:val="ListParagraph"/>
        <w:numPr>
          <w:ilvl w:val="0"/>
          <w:numId w:val="2"/>
        </w:numPr>
        <w:spacing w:after="80"/>
      </w:pPr>
      <w:r>
        <w:rPr>
          <w:rFonts w:ascii="Arial" w:cs="Arial" w:eastAsia="Arial" w:hAnsi="Arial"/>
          <w:sz w:val="22"/>
          <w:szCs w:val="22"/>
        </w:rPr>
        <w:t xml:space="preserve">Liberación geográfica: los usuarios pueden elegir cualquier Registro del país, sin depender del domicilio.</w:t>
      </w:r>
    </w:p>
    <w:p>
      <w:pPr>
        <w:pStyle w:val="ListParagraph"/>
        <w:numPr>
          <w:ilvl w:val="0"/>
          <w:numId w:val="2"/>
        </w:numPr>
        <w:spacing w:after="80"/>
      </w:pPr>
      <w:r>
        <w:rPr>
          <w:rFonts w:ascii="Arial" w:cs="Arial" w:eastAsia="Arial" w:hAnsi="Arial"/>
          <w:sz w:val="22"/>
          <w:szCs w:val="22"/>
        </w:rPr>
        <w:t xml:space="preserve">Creación del Legajo Digital Único (LDU) y certificados digitales.</w:t>
      </w:r>
    </w:p>
    <w:p>
      <w:pPr>
        <w:pStyle w:val="ListParagraph"/>
        <w:numPr>
          <w:ilvl w:val="0"/>
          <w:numId w:val="2"/>
        </w:numPr>
        <w:spacing w:after="80"/>
      </w:pPr>
      <w:r>
        <w:rPr>
          <w:rFonts w:ascii="Arial" w:cs="Arial" w:eastAsia="Arial" w:hAnsi="Arial"/>
          <w:sz w:val="22"/>
          <w:szCs w:val="22"/>
        </w:rPr>
        <w:t xml:space="preserve">Objetivo declarado de eliminar los Registros del Automotor como intermediarios (aún no concretado).</w:t>
      </w:r>
    </w:p>
    <w:p>
      <w:pPr>
        <w:pStyle w:val="ListParagraph"/>
        <w:numPr>
          <w:ilvl w:val="0"/>
          <w:numId w:val="2"/>
        </w:numPr>
        <w:spacing w:after="160"/>
      </w:pPr>
      <w:r>
        <w:rPr>
          <w:rFonts w:ascii="Arial" w:cs="Arial" w:eastAsia="Arial" w:hAnsi="Arial"/>
          <w:sz w:val="22"/>
          <w:szCs w:val="22"/>
        </w:rPr>
        <w:t xml:space="preserve">Anuncio de cierre del 40% de los registros automotores del país.</w:t>
      </w:r>
    </w:p>
    <w:p>
      <w:pPr>
        <w:spacing w:after="160"/>
        <w:jc w:val="both"/>
      </w:pPr>
      <w:r>
        <w:rPr>
          <w:rFonts w:ascii="Arial" w:cs="Arial" w:eastAsia="Arial" w:hAnsi="Arial"/>
          <w:color w:val="1C2833"/>
          <w:sz w:val="22"/>
          <w:szCs w:val="22"/>
        </w:rPr>
        <w:t xml:space="preserve">Dato clave: el 70% de las transferencias ya se procesan digitalmente por DNRPA Digital, reduciendo los tiempos de 7 días hábiles a 3. El mercado de usados creció 12% interanual gracias a esta modernización.</w:t>
      </w:r>
    </w:p>
    <w:p>
      <w:pPr>
        <w:pStyle w:val="Heading2"/>
        <w:spacing w:after="160" w:before="280"/>
      </w:pPr>
      <w:r>
        <w:rPr>
          <w:rFonts w:ascii="Arial" w:cs="Arial" w:eastAsia="Arial" w:hAnsi="Arial"/>
          <w:b/>
          <w:bCs/>
          <w:color w:val="1B4F72"/>
          <w:sz w:val="26"/>
          <w:szCs w:val="26"/>
        </w:rPr>
        <w:t xml:space="preserve">5.3 Competidores y Actores Existentes</w:t>
      </w:r>
    </w:p>
    <w:p>
      <w:pPr>
        <w:spacing w:after="160"/>
        <w:jc w:val="both"/>
      </w:pPr>
      <w:r>
        <w:rPr>
          <w:rFonts w:ascii="Arial" w:cs="Arial" w:eastAsia="Arial" w:hAnsi="Arial"/>
          <w:color w:val="1C2833"/>
          <w:sz w:val="22"/>
          <w:szCs w:val="22"/>
        </w:rPr>
        <w:t xml:space="preserve">En Argentina no existe un equivalente directo de ICAR ni de Gesthispania. Lo que sí existe son:</w:t>
      </w:r>
    </w:p>
    <w:p>
      <w:pPr>
        <w:spacing w:after="160"/>
        <w:jc w:val="both"/>
      </w:pPr>
      <w:r>
        <w:rPr>
          <w:rFonts w:ascii="Arial" w:cs="Arial" w:eastAsia="Arial" w:hAnsi="Arial"/>
          <w:b/>
          <w:bCs/>
          <w:color w:val="1C2833"/>
          <w:sz w:val="22"/>
          <w:szCs w:val="22"/>
        </w:rPr>
        <w:t xml:space="preserve">Gestorías tradicionales: </w:t>
      </w:r>
      <w:r>
        <w:rPr>
          <w:rFonts w:ascii="Arial" w:cs="Arial" w:eastAsia="Arial" w:hAnsi="Arial"/>
          <w:color w:val="1C2833"/>
          <w:sz w:val="22"/>
          <w:szCs w:val="22"/>
        </w:rPr>
        <w:t xml:space="preserve">Oficinas físicas que tramitan transferencias como intermediarios. Ejemplos: Gestoría RAM, Gestoría Integral Norte, el servicio del Automóvil Club Argentino (ACA). Son presenciales, lentas y con experiencia de usuario deficiente.</w:t>
      </w:r>
    </w:p>
    <w:p>
      <w:pPr>
        <w:spacing w:after="160"/>
        <w:jc w:val="both"/>
      </w:pPr>
      <w:r>
        <w:rPr>
          <w:rFonts w:ascii="Arial" w:cs="Arial" w:eastAsia="Arial" w:hAnsi="Arial"/>
          <w:b/>
          <w:bCs/>
          <w:color w:val="1C2833"/>
          <w:sz w:val="22"/>
          <w:szCs w:val="22"/>
        </w:rPr>
        <w:t xml:space="preserve">Quicktram S.A.: </w:t>
      </w:r>
      <w:r>
        <w:rPr>
          <w:rFonts w:ascii="Arial" w:cs="Arial" w:eastAsia="Arial" w:hAnsi="Arial"/>
          <w:color w:val="1C2833"/>
          <w:sz w:val="22"/>
          <w:szCs w:val="22"/>
        </w:rPr>
        <w:t xml:space="preserve">Gestoría integral del automotor con más de 20 años de trayectoria. Se posiciona como innovadora pero opera de manera mayormente tradicional desde sus oficinas en Buenos Aires (Moreno 957).</w:t>
      </w:r>
    </w:p>
    <w:p>
      <w:pPr>
        <w:spacing w:after="160"/>
        <w:jc w:val="both"/>
      </w:pPr>
      <w:r>
        <w:rPr>
          <w:rFonts w:ascii="Arial" w:cs="Arial" w:eastAsia="Arial" w:hAnsi="Arial"/>
          <w:b/>
          <w:bCs/>
          <w:color w:val="1C2833"/>
          <w:sz w:val="22"/>
          <w:szCs w:val="22"/>
        </w:rPr>
        <w:t xml:space="preserve">Autoforms: </w:t>
      </w:r>
      <w:r>
        <w:rPr>
          <w:rFonts w:ascii="Arial" w:cs="Arial" w:eastAsia="Arial" w:hAnsi="Arial"/>
          <w:color w:val="1C2833"/>
          <w:sz w:val="22"/>
          <w:szCs w:val="22"/>
        </w:rPr>
        <w:t xml:space="preserve">Software de gestión para gestorías con 20 años en el mercado. Automatiza los 135 formularios electrónicos. Es una herramienta B2B para gestorías, no una plataforma B2C.</w:t>
      </w:r>
    </w:p>
    <w:p>
      <w:pPr>
        <w:spacing w:after="160"/>
        <w:jc w:val="both"/>
      </w:pPr>
      <w:r>
        <w:rPr>
          <w:rFonts w:ascii="Arial" w:cs="Arial" w:eastAsia="Arial" w:hAnsi="Arial"/>
          <w:b/>
          <w:bCs/>
          <w:color w:val="1C2833"/>
          <w:sz w:val="22"/>
          <w:szCs w:val="22"/>
        </w:rPr>
        <w:t xml:space="preserve">El Cero Km: </w:t>
      </w:r>
      <w:r>
        <w:rPr>
          <w:rFonts w:ascii="Arial" w:cs="Arial" w:eastAsia="Arial" w:hAnsi="Arial"/>
          <w:color w:val="1C2833"/>
          <w:sz w:val="22"/>
          <w:szCs w:val="22"/>
        </w:rPr>
        <w:t xml:space="preserve">Startup de venta 100% digital de autos 0km. No hace transferencias de usados, pero demuestra que el mercado argentino está listo para experiencias digitales en automotores.</w:t>
      </w:r>
    </w:p>
    <w:p>
      <w:pPr>
        <w:spacing w:after="160"/>
        <w:jc w:val="both"/>
      </w:pPr>
      <w:r>
        <w:rPr>
          <w:rFonts w:ascii="Arial" w:cs="Arial" w:eastAsia="Arial" w:hAnsi="Arial"/>
          <w:b/>
          <w:bCs/>
          <w:color w:val="1C2833"/>
          <w:sz w:val="22"/>
          <w:szCs w:val="22"/>
        </w:rPr>
        <w:t xml:space="preserve">elcerokm.com: </w:t>
      </w:r>
      <w:r>
        <w:rPr>
          <w:rFonts w:ascii="Arial" w:cs="Arial" w:eastAsia="Arial" w:hAnsi="Arial"/>
          <w:color w:val="1C2833"/>
          <w:sz w:val="22"/>
          <w:szCs w:val="22"/>
        </w:rPr>
        <w:t xml:space="preserve">Ofrece un calculador de costos de transferencia online, lo cual indica demanda de transparencia en precios.</w:t>
      </w:r>
    </w:p>
    <w:p>
      <w:r>
        <w:br w:type="page"/>
      </w:r>
    </w:p>
    <w:p>
      <w:pPr>
        <w:pStyle w:val="Heading1"/>
        <w:spacing w:after="200" w:before="360"/>
      </w:pPr>
      <w:r>
        <w:rPr>
          <w:rFonts w:ascii="Arial" w:cs="Arial" w:eastAsia="Arial" w:hAnsi="Arial"/>
          <w:b/>
          <w:bCs/>
          <w:color w:val="1B4F72"/>
          <w:sz w:val="32"/>
          <w:szCs w:val="32"/>
        </w:rPr>
        <w:t xml:space="preserve">6. La Oportunidad en Argentina</w:t>
      </w:r>
    </w:p>
    <w:p>
      <w:pPr>
        <w:pStyle w:val="Heading2"/>
        <w:spacing w:after="160" w:before="280"/>
      </w:pPr>
      <w:r>
        <w:rPr>
          <w:rFonts w:ascii="Arial" w:cs="Arial" w:eastAsia="Arial" w:hAnsi="Arial"/>
          <w:b/>
          <w:bCs/>
          <w:color w:val="1B4F72"/>
          <w:sz w:val="26"/>
          <w:szCs w:val="26"/>
        </w:rPr>
        <w:t xml:space="preserve">6.1 Por Qué el Momento es Ahora</w:t>
      </w:r>
    </w:p>
    <w:p>
      <w:pPr>
        <w:spacing w:after="160"/>
        <w:jc w:val="both"/>
      </w:pPr>
      <w:r>
        <w:rPr>
          <w:rFonts w:ascii="Arial" w:cs="Arial" w:eastAsia="Arial" w:hAnsi="Arial"/>
          <w:color w:val="1C2833"/>
          <w:sz w:val="22"/>
          <w:szCs w:val="22"/>
        </w:rPr>
        <w:t xml:space="preserve">Varios factores convergen para crear una ventana de oportunidad única:</w:t>
      </w:r>
    </w:p>
    <w:p>
      <w:pPr>
        <w:pStyle w:val="ListParagraph"/>
        <w:numPr>
          <w:ilvl w:val="0"/>
          <w:numId w:val="3"/>
        </w:numPr>
        <w:spacing w:after="80"/>
      </w:pPr>
      <w:r>
        <w:rPr>
          <w:rFonts w:ascii="Arial" w:cs="Arial" w:eastAsia="Arial" w:hAnsi="Arial"/>
          <w:sz w:val="22"/>
          <w:szCs w:val="22"/>
        </w:rPr>
        <w:t xml:space="preserve">Desregulación activa: El gobierno está eliminando barreras y reduciendo costos registrales.</w:t>
      </w:r>
    </w:p>
    <w:p>
      <w:pPr>
        <w:pStyle w:val="ListParagraph"/>
        <w:numPr>
          <w:ilvl w:val="0"/>
          <w:numId w:val="3"/>
        </w:numPr>
        <w:spacing w:after="80"/>
      </w:pPr>
      <w:r>
        <w:rPr>
          <w:rFonts w:ascii="Arial" w:cs="Arial" w:eastAsia="Arial" w:hAnsi="Arial"/>
          <w:sz w:val="22"/>
          <w:szCs w:val="22"/>
        </w:rPr>
        <w:t xml:space="preserve">Infraestructura digital lista: el 08 Digital ya existe, el 70% de las operaciones son electrónicas.</w:t>
      </w:r>
    </w:p>
    <w:p>
      <w:pPr>
        <w:pStyle w:val="ListParagraph"/>
        <w:numPr>
          <w:ilvl w:val="0"/>
          <w:numId w:val="3"/>
        </w:numPr>
        <w:spacing w:after="80"/>
      </w:pPr>
      <w:r>
        <w:rPr>
          <w:rFonts w:ascii="Arial" w:cs="Arial" w:eastAsia="Arial" w:hAnsi="Arial"/>
          <w:sz w:val="22"/>
          <w:szCs w:val="22"/>
        </w:rPr>
        <w:t xml:space="preserve">Vacío de mercado: no hay ningún actor privado ofreciendo una experiencia end-to-end como ICAR.</w:t>
      </w:r>
    </w:p>
    <w:p>
      <w:pPr>
        <w:pStyle w:val="ListParagraph"/>
        <w:numPr>
          <w:ilvl w:val="0"/>
          <w:numId w:val="3"/>
        </w:numPr>
        <w:spacing w:after="80"/>
      </w:pPr>
      <w:r>
        <w:rPr>
          <w:rFonts w:ascii="Arial" w:cs="Arial" w:eastAsia="Arial" w:hAnsi="Arial"/>
          <w:sz w:val="22"/>
          <w:szCs w:val="22"/>
        </w:rPr>
        <w:t xml:space="preserve">Frustración del usuario: la experiencia de transferir un auto sigue siendo confusa, costosa y requiere presencia física.</w:t>
      </w:r>
    </w:p>
    <w:p>
      <w:pPr>
        <w:pStyle w:val="ListParagraph"/>
        <w:numPr>
          <w:ilvl w:val="0"/>
          <w:numId w:val="3"/>
        </w:numPr>
        <w:spacing w:after="160"/>
      </w:pPr>
      <w:r>
        <w:rPr>
          <w:rFonts w:ascii="Arial" w:cs="Arial" w:eastAsia="Arial" w:hAnsi="Arial"/>
          <w:sz w:val="22"/>
          <w:szCs w:val="22"/>
        </w:rPr>
        <w:t xml:space="preserve">Mercado enorme: Argentina tiene uno de los parques automotores más grandes de Latinoamérica, con millones de transferencias anuales.</w:t>
      </w:r>
    </w:p>
    <w:p>
      <w:pPr>
        <w:pStyle w:val="Heading2"/>
        <w:spacing w:after="160" w:before="280"/>
      </w:pPr>
      <w:r>
        <w:rPr>
          <w:rFonts w:ascii="Arial" w:cs="Arial" w:eastAsia="Arial" w:hAnsi="Arial"/>
          <w:b/>
          <w:bCs/>
          <w:color w:val="1B4F72"/>
          <w:sz w:val="26"/>
          <w:szCs w:val="26"/>
        </w:rPr>
        <w:t xml:space="preserve">6.2 Desafíos a Considerar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Desafío</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Análisis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Regulatorio</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El sistema argentino aún requiere presencia física para verificación policial y presentación en Registro. No existe firma electrónica avanzada equivalente a la Clave Única de Chile para este tipo de trámites.</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Fragmentación provincial</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Cada provincia tiene sus propios impuestos (sellos, patentes) y procesos. Un sistema nacional debe integrarse con múltiples jurisdicciones.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Resistencia de registros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Los encargados de Registros del Automotor son mandatarios que cobran aranceles. Tienen incentivos para resistir la digitalización total. El gobierno no logró eliminarlos pese a anunciarlo.</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Complejidad del trámite</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Verificación policial, libre deuda de patentes, libre deuda de infracciones, AFIP/ARCA para montos altos: son múltiples organismos que aún no están totalmente interconectados.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C2833"/>
                <w:sz w:val="20"/>
                <w:szCs w:val="20"/>
              </w:rPr>
              <w:t xml:space="preserve">Confianza del usuario</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En un país con historial de estafas en compraventa de autos, generar confianza en una plataforma digital es crítico. ICAR lo resuelve con firma electrónica avanzada y biometría.</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Inestabilidad económica</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Inflación, cambios de políticas, y aranceles que varían. Dificulta el pricing fijo y la planificación a largo plazo.</w:t>
            </w:r>
          </w:p>
        </w:tc>
      </w:tr>
    </w:tbl>
    <w:p>
      <w:pPr>
        <w:spacing w:after="200"/>
      </w:pPr>
    </w:p>
    <w:p>
      <w:pPr>
        <w:pStyle w:val="Heading2"/>
        <w:spacing w:after="160" w:before="280"/>
      </w:pPr>
      <w:r>
        <w:rPr>
          <w:rFonts w:ascii="Arial" w:cs="Arial" w:eastAsia="Arial" w:hAnsi="Arial"/>
          <w:b/>
          <w:bCs/>
          <w:color w:val="1B4F72"/>
          <w:sz w:val="26"/>
          <w:szCs w:val="26"/>
        </w:rPr>
        <w:t xml:space="preserve">6.3 Modelo Propuesto para Argentina</w:t>
      </w:r>
    </w:p>
    <w:p>
      <w:pPr>
        <w:spacing w:after="160"/>
        <w:jc w:val="both"/>
      </w:pPr>
      <w:r>
        <w:rPr>
          <w:rFonts w:ascii="Arial" w:cs="Arial" w:eastAsia="Arial" w:hAnsi="Arial"/>
          <w:color w:val="1C2833"/>
          <w:sz w:val="22"/>
          <w:szCs w:val="22"/>
        </w:rPr>
        <w:t xml:space="preserve">Basándonos en los aprendizajes de ICAR y Gesthispania, el modelo ideal para Argentina combinaría elementos de ambos:</w:t>
      </w:r>
    </w:p>
    <w:p>
      <w:pPr>
        <w:spacing w:after="160"/>
        <w:jc w:val="both"/>
      </w:pPr>
      <w:r>
        <w:rPr>
          <w:rFonts w:ascii="Arial" w:cs="Arial" w:eastAsia="Arial" w:hAnsi="Arial"/>
          <w:b/>
          <w:bCs/>
          <w:color w:val="1C2833"/>
          <w:sz w:val="22"/>
          <w:szCs w:val="22"/>
        </w:rPr>
        <w:t xml:space="preserve">Fase 1 — Gestoría Digital B2C: </w:t>
      </w:r>
      <w:r>
        <w:rPr>
          <w:rFonts w:ascii="Arial" w:cs="Arial" w:eastAsia="Arial" w:hAnsi="Arial"/>
          <w:color w:val="1C2833"/>
          <w:sz w:val="22"/>
          <w:szCs w:val="22"/>
        </w:rPr>
        <w:t xml:space="preserve">Plataforma que guíe al usuario paso a paso en la transferencia de su auto o moto. Pre-carga del 08 digital, coordinación de verificación policial, gestión de libre deuda, cálculo transparente de costos, y acompañamiento hasta la inscripción. Cobro de una tarifa fija por servicio. En esta etapa, todavía se requerirá presencia física para algunos pasos, pero la plataforma minimiza el esfuerzo del usuario.</w:t>
      </w:r>
    </w:p>
    <w:p>
      <w:pPr>
        <w:spacing w:after="160"/>
        <w:jc w:val="both"/>
      </w:pPr>
      <w:r>
        <w:rPr>
          <w:rFonts w:ascii="Arial" w:cs="Arial" w:eastAsia="Arial" w:hAnsi="Arial"/>
          <w:b/>
          <w:bCs/>
          <w:color w:val="1C2833"/>
          <w:sz w:val="22"/>
          <w:szCs w:val="22"/>
        </w:rPr>
        <w:t xml:space="preserve">Fase 2 — Servicios Complementarios: </w:t>
      </w:r>
      <w:r>
        <w:rPr>
          <w:rFonts w:ascii="Arial" w:cs="Arial" w:eastAsia="Arial" w:hAnsi="Arial"/>
          <w:color w:val="1C2833"/>
          <w:sz w:val="22"/>
          <w:szCs w:val="22"/>
        </w:rPr>
        <w:t xml:space="preserve">Informe vehicular digital (antecedentes, deudas, estado del dominio), calculador de costos en tiempo real, y verificación de la identidad del vendedor. Similar a icarcheck.</w:t>
      </w:r>
    </w:p>
    <w:p>
      <w:pPr>
        <w:spacing w:after="160"/>
        <w:jc w:val="both"/>
      </w:pPr>
      <w:r>
        <w:rPr>
          <w:rFonts w:ascii="Arial" w:cs="Arial" w:eastAsia="Arial" w:hAnsi="Arial"/>
          <w:b/>
          <w:bCs/>
          <w:color w:val="1C2833"/>
          <w:sz w:val="22"/>
          <w:szCs w:val="22"/>
        </w:rPr>
        <w:t xml:space="preserve">Fase 3 — B2B para Concesionarios: </w:t>
      </w:r>
      <w:r>
        <w:rPr>
          <w:rFonts w:ascii="Arial" w:cs="Arial" w:eastAsia="Arial" w:hAnsi="Arial"/>
          <w:color w:val="1C2833"/>
          <w:sz w:val="22"/>
          <w:szCs w:val="22"/>
        </w:rPr>
        <w:t xml:space="preserve">Ofrecer la plataforma a agencias de usados, concesionarios y financieras como herramienta de gestión de transferencias masivas, con API e integración. Al estilo Gesthispania.</w:t>
      </w:r>
    </w:p>
    <w:p>
      <w:pPr>
        <w:spacing w:after="160"/>
        <w:jc w:val="both"/>
      </w:pPr>
      <w:r>
        <w:rPr>
          <w:rFonts w:ascii="Arial" w:cs="Arial" w:eastAsia="Arial" w:hAnsi="Arial"/>
          <w:b/>
          <w:bCs/>
          <w:color w:val="1C2833"/>
          <w:sz w:val="22"/>
          <w:szCs w:val="22"/>
        </w:rPr>
        <w:t xml:space="preserve">Fase 4 — Gestión de Multas y Patentes: </w:t>
      </w:r>
      <w:r>
        <w:rPr>
          <w:rFonts w:ascii="Arial" w:cs="Arial" w:eastAsia="Arial" w:hAnsi="Arial"/>
          <w:color w:val="1C2833"/>
          <w:sz w:val="22"/>
          <w:szCs w:val="22"/>
        </w:rPr>
        <w:t xml:space="preserve">Expandir hacia la gestión de multas de tránsito, libre deuda de patentes, y otros trámites del ciclo de vida del vehículo. Modelo probado por Gesthispania.</w:t>
      </w:r>
    </w:p>
    <w:p>
      <w:r>
        <w:br w:type="page"/>
      </w:r>
    </w:p>
    <w:p>
      <w:pPr>
        <w:pStyle w:val="Heading1"/>
        <w:spacing w:after="200" w:before="360"/>
      </w:pPr>
      <w:r>
        <w:rPr>
          <w:rFonts w:ascii="Arial" w:cs="Arial" w:eastAsia="Arial" w:hAnsi="Arial"/>
          <w:b/>
          <w:bCs/>
          <w:color w:val="1B4F72"/>
          <w:sz w:val="32"/>
          <w:szCs w:val="32"/>
        </w:rPr>
        <w:t xml:space="preserve">7. Conclusiones</w:t>
      </w:r>
    </w:p>
    <w:p>
      <w:pPr>
        <w:spacing w:after="160"/>
        <w:jc w:val="both"/>
      </w:pPr>
      <w:r>
        <w:rPr>
          <w:rFonts w:ascii="Arial" w:cs="Arial" w:eastAsia="Arial" w:hAnsi="Arial"/>
          <w:color w:val="1C2833"/>
          <w:sz w:val="22"/>
          <w:szCs w:val="22"/>
        </w:rPr>
        <w:t xml:space="preserve">ICAR y Gesthispania demuestran que la digitalización de la gestoría vehicular es un negocio viable y escalable. ICAR probó que se puede crear una plataforma masiva B2C para transferencias con millones de operaciones, mientras que Gesthispania probó que el segmento B2B de flotas genera ingresos recurrentes de alto valor.</w:t>
      </w:r>
    </w:p>
    <w:p>
      <w:pPr>
        <w:spacing w:after="160"/>
        <w:jc w:val="both"/>
      </w:pPr>
      <w:r>
        <w:rPr>
          <w:rFonts w:ascii="Arial" w:cs="Arial" w:eastAsia="Arial" w:hAnsi="Arial"/>
          <w:color w:val="1C2833"/>
          <w:sz w:val="22"/>
          <w:szCs w:val="22"/>
        </w:rPr>
        <w:t xml:space="preserve">Argentina presenta hoy la combinación perfecta: un mercado grande y fragmentado, un gobierno que activamente desregula el sector, infraestructura digital básica ya implementada (08 digital, DNRPA digital), y cero competidores privados ofreciendo una solución integral.</w:t>
      </w:r>
    </w:p>
    <w:p>
      <w:pPr>
        <w:spacing w:after="160"/>
        <w:jc w:val="both"/>
      </w:pPr>
      <w:r>
        <w:rPr>
          <w:rFonts w:ascii="Arial" w:cs="Arial" w:eastAsia="Arial" w:hAnsi="Arial"/>
          <w:color w:val="1C2833"/>
          <w:sz w:val="22"/>
          <w:szCs w:val="22"/>
        </w:rPr>
        <w:t xml:space="preserve">El modelo no requiere eliminar a los Registros del Automotor ni cambiar la ley. Requiere construir una capa de experiencia de usuario sobre la infraestructura existente: guiar, simplificar, acompañar y resolver. Exactamente lo que un gestor tradicional hace, pero escalado con tecnología.</w:t>
      </w:r>
    </w:p>
    <w:p>
      <w:pPr>
        <w:spacing w:after="160"/>
        <w:jc w:val="both"/>
      </w:pPr>
      <w:r>
        <w:rPr>
          <w:rFonts w:ascii="Arial" w:cs="Arial" w:eastAsia="Arial" w:hAnsi="Arial"/>
          <w:color w:val="1C2833"/>
          <w:sz w:val="22"/>
          <w:szCs w:val="22"/>
        </w:rPr>
        <w:t xml:space="preserve">La oportunidad está abierta y el timing es ideal. El que se posicione primero con una plataforma profesional, confiable y fácil de usar, tiene las condiciones para dominar este mercado.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Página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i/>
        <w:iCs/>
        <w:color w:val="566573"/>
        <w:sz w:val="18"/>
        <w:szCs w:val="18"/>
      </w:rPr>
      <w:t xml:space="preserve">Gestoría Digital Automotor — Investigación de Mercado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2026-02-26T15:39:31.254Z</dcterms:created>
  <dcterms:modified xsi:type="dcterms:W3CDTF">2026-02-26T15:39:31.254Z</dcterms:modified>
</cp:coreProperties>
</file>

<file path=docProps/custom.xml><?xml version="1.0" encoding="utf-8"?>
<Properties xmlns="http://schemas.openxmlformats.org/officeDocument/2006/custom-properties" xmlns:vt="http://schemas.openxmlformats.org/officeDocument/2006/docPropsVTypes"/>
</file>