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0.164.</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e Clientes), cada um com os números que mais importam no período: caixa, receita, margem e lucro; campanhas e leads; vendas, ticket e conversão; a receber, a pagar e MRR;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