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595959"/>
          <w:sz w:val="20"/>
          <w:szCs w:val="20"/>
        </w:rPr>
        <w:t xml:space="preserve">BTS MCO 2 - Bloc 2, compétence 3</w:t>
      </w:r>
    </w:p>
    <w:p>
      <w:pPr>
        <w:spacing w:after="60"/>
        <w:jc w:val="center"/>
      </w:pPr>
      <w:r>
        <w:rPr>
          <w:rFonts w:ascii="Calibri" w:cs="Calibri" w:eastAsia="Calibri" w:hAnsi="Calibri"/>
          <w:b/>
          <w:bCs/>
          <w:color w:val="1F3864"/>
          <w:sz w:val="34"/>
          <w:szCs w:val="34"/>
        </w:rPr>
        <w:t xml:space="preserve">Développer les performances de l’espace commercial</w:t>
      </w:r>
    </w:p>
    <w:p>
      <w:pPr>
        <w:spacing w:after="320"/>
        <w:jc w:val="center"/>
      </w:pPr>
      <w:r>
        <w:rPr>
          <w:rFonts w:ascii="Calibri" w:cs="Calibri" w:eastAsia="Calibri" w:hAnsi="Calibri"/>
          <w:i/>
          <w:iCs/>
          <w:color w:val="595959"/>
          <w:sz w:val="22"/>
          <w:szCs w:val="22"/>
        </w:rPr>
        <w:t xml:space="preserve">E-merchandising : benchmark, grille comparative et préconisations</w:t>
      </w:r>
    </w:p>
    <w:p>
      <w:pPr>
        <w:spacing w:after="60" w:line="276"/>
        <w:jc w:val="left"/>
      </w:pPr>
      <w:r>
        <w:rPr>
          <w:rFonts w:ascii="Calibri" w:cs="Calibri" w:eastAsia="Calibri" w:hAnsi="Calibri"/>
          <w:b w:val="false"/>
          <w:bCs w:val="false"/>
          <w:i w:val="false"/>
          <w:iCs w:val="false"/>
          <w:sz w:val="22"/>
          <w:szCs w:val="22"/>
        </w:rPr>
        <w:t xml:space="preserve">Unité commerciale étudiée : Road Spirit, concessionnaire Triumph à Toulon (roadspirit.fr).</w:t>
      </w:r>
    </w:p>
    <w:p>
      <w:pPr>
        <w:spacing w:after="60" w:line="276"/>
        <w:jc w:val="left"/>
      </w:pPr>
      <w:r>
        <w:rPr>
          <w:rFonts w:ascii="Calibri" w:cs="Calibri" w:eastAsia="Calibri" w:hAnsi="Calibri"/>
          <w:b w:val="false"/>
          <w:bCs w:val="false"/>
          <w:i w:val="false"/>
          <w:iCs w:val="false"/>
          <w:sz w:val="22"/>
          <w:szCs w:val="22"/>
        </w:rPr>
        <w:t xml:space="preserve">Concurrent 1 : Audemar (audemar.com), groupe de cinq concessions à Toulon et Hyères. Concurrent 2 : Harley-Davidson Toulon (harley-davidson-toulon.fr).</w:t>
      </w:r>
    </w:p>
    <w:p>
      <w:pPr>
        <w:spacing w:after="240" w:line="276"/>
        <w:jc w:val="left"/>
      </w:pPr>
      <w:r>
        <w:rPr>
          <w:rFonts w:ascii="Calibri" w:cs="Calibri" w:eastAsia="Calibri" w:hAnsi="Calibri"/>
          <w:b w:val="false"/>
          <w:bCs w:val="false"/>
          <w:i/>
          <w:iCs/>
          <w:sz w:val="22"/>
          <w:szCs w:val="22"/>
        </w:rPr>
        <w:t xml:space="preserve">Analyse des trois sites réalisée le 29 septembre 2026.</w:t>
      </w:r>
    </w:p>
    <w:p>
      <w:pPr>
        <w:spacing w:after="160" w:before="280"/>
      </w:pPr>
      <w:r>
        <w:rPr>
          <w:rFonts w:ascii="Calibri" w:cs="Calibri" w:eastAsia="Calibri" w:hAnsi="Calibri"/>
          <w:b/>
          <w:bCs/>
          <w:color w:val="1F3864"/>
          <w:sz w:val="28"/>
          <w:szCs w:val="28"/>
        </w:rPr>
        <w:t xml:space="preserve">Travail 1.1 : Benchmark de fréquentation</w:t>
      </w:r>
    </w:p>
    <w:p>
      <w:pPr>
        <w:spacing w:after="100" w:line="276"/>
        <w:jc w:val="left"/>
      </w:pPr>
      <w:r>
        <w:rPr>
          <w:rFonts w:ascii="Calibri" w:cs="Calibri" w:eastAsia="Calibri" w:hAnsi="Calibri"/>
          <w:b/>
          <w:bCs/>
          <w:i w:val="false"/>
          <w:iCs w:val="false"/>
          <w:sz w:val="22"/>
          <w:szCs w:val="22"/>
        </w:rPr>
        <w:t xml:space="preserve">Tableau comparatif de la fréquentation (source : SimilarWeb).</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28%"/>
            <w:tcMar>
              <w:top w:type="dxa" w:w="60"/>
              <w:left w:type="dxa" w:w="90"/>
              <w:bottom w:type="dxa" w:w="60"/>
              <w:right w:type="dxa" w:w="90"/>
            </w:tcMar>
          </w:tcPr>
          <w:p>
            <w:pPr>
              <w:spacing w:after="0"/>
              <w:jc w:val="center"/>
            </w:pPr>
            <w:r>
              <w:rPr>
                <w:rFonts w:ascii="Calibri" w:cs="Calibri" w:eastAsia="Calibri" w:hAnsi="Calibri"/>
                <w:b/>
                <w:bCs/>
                <w:sz w:val="20"/>
                <w:szCs w:val="20"/>
              </w:rPr>
              <w:t xml:space="preserve"/>
            </w:r>
          </w:p>
        </w:tc>
        <w:tc>
          <w:tcPr>
            <w:tcW w:type="pct" w:w="18%"/>
            <w:tcMar>
              <w:top w:type="dxa" w:w="60"/>
              <w:left w:type="dxa" w:w="90"/>
              <w:bottom w:type="dxa" w:w="60"/>
              <w:right w:type="dxa" w:w="90"/>
            </w:tcMar>
          </w:tcPr>
          <w:p>
            <w:pPr>
              <w:spacing w:after="0"/>
              <w:jc w:val="center"/>
            </w:pPr>
            <w:r>
              <w:rPr>
                <w:rFonts w:ascii="Calibri" w:cs="Calibri" w:eastAsia="Calibri" w:hAnsi="Calibri"/>
                <w:b/>
                <w:bCs/>
                <w:sz w:val="20"/>
                <w:szCs w:val="20"/>
              </w:rPr>
              <w:t xml:space="preserve">Triumph</w:t>
            </w:r>
          </w:p>
        </w:tc>
        <w:tc>
          <w:tcPr>
            <w:tcW w:type="pct" w:w="18%"/>
            <w:tcMar>
              <w:top w:type="dxa" w:w="60"/>
              <w:left w:type="dxa" w:w="90"/>
              <w:bottom w:type="dxa" w:w="60"/>
              <w:right w:type="dxa" w:w="90"/>
            </w:tcMar>
          </w:tcPr>
          <w:p>
            <w:pPr>
              <w:spacing w:after="0"/>
              <w:jc w:val="center"/>
            </w:pPr>
            <w:r>
              <w:rPr>
                <w:rFonts w:ascii="Calibri" w:cs="Calibri" w:eastAsia="Calibri" w:hAnsi="Calibri"/>
                <w:b/>
                <w:bCs/>
                <w:sz w:val="20"/>
                <w:szCs w:val="20"/>
              </w:rPr>
              <w:t xml:space="preserve">Harley</w:t>
            </w:r>
          </w:p>
        </w:tc>
        <w:tc>
          <w:tcPr>
            <w:tcW w:type="pct" w:w="18%"/>
            <w:tcMar>
              <w:top w:type="dxa" w:w="60"/>
              <w:left w:type="dxa" w:w="90"/>
              <w:bottom w:type="dxa" w:w="60"/>
              <w:right w:type="dxa" w:w="90"/>
            </w:tcMar>
          </w:tcPr>
          <w:p>
            <w:pPr>
              <w:spacing w:after="0"/>
              <w:jc w:val="center"/>
            </w:pPr>
            <w:r>
              <w:rPr>
                <w:rFonts w:ascii="Calibri" w:cs="Calibri" w:eastAsia="Calibri" w:hAnsi="Calibri"/>
                <w:b/>
                <w:bCs/>
                <w:sz w:val="20"/>
                <w:szCs w:val="20"/>
              </w:rPr>
              <w:t xml:space="preserve">Audemar</w:t>
            </w:r>
          </w:p>
        </w:tc>
        <w:tc>
          <w:tcPr>
            <w:tcW w:type="pct" w:w="18%"/>
            <w:tcMar>
              <w:top w:type="dxa" w:w="60"/>
              <w:left w:type="dxa" w:w="90"/>
              <w:bottom w:type="dxa" w:w="60"/>
              <w:right w:type="dxa" w:w="90"/>
            </w:tcMar>
          </w:tcPr>
          <w:p>
            <w:pPr>
              <w:spacing w:after="0"/>
              <w:jc w:val="center"/>
            </w:pPr>
            <w:r>
              <w:rPr>
                <w:rFonts w:ascii="Calibri" w:cs="Calibri" w:eastAsia="Calibri" w:hAnsi="Calibri"/>
                <w:b/>
                <w:bCs/>
                <w:sz w:val="20"/>
                <w:szCs w:val="20"/>
              </w:rPr>
              <w:t xml:space="preserve">Honda</w:t>
            </w:r>
          </w:p>
        </w:tc>
      </w:tr>
      <w:tr>
        <w:trPr>
          <w:tblHeader w:val="false"/>
        </w:trPr>
        <w:tc>
          <w:tcPr>
            <w:tcW w:type="pct" w:w="28%"/>
            <w:tcMar>
              <w:top w:type="dxa" w:w="60"/>
              <w:left w:type="dxa" w:w="90"/>
              <w:bottom w:type="dxa" w:w="60"/>
              <w:right w:type="dxa" w:w="90"/>
            </w:tcMar>
          </w:tcPr>
          <w:p>
            <w:pPr>
              <w:spacing w:after="0"/>
              <w:jc w:val="center"/>
            </w:pPr>
            <w:r>
              <w:rPr>
                <w:rFonts w:ascii="Calibri" w:cs="Calibri" w:eastAsia="Calibri" w:hAnsi="Calibri"/>
                <w:b/>
                <w:bCs/>
                <w:sz w:val="20"/>
                <w:szCs w:val="20"/>
              </w:rPr>
              <w:t xml:space="preserve">Visites totales / mois</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710</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7 351</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13 659</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1 711</w:t>
            </w:r>
          </w:p>
        </w:tc>
      </w:tr>
      <w:tr>
        <w:trPr>
          <w:tblHeader w:val="false"/>
        </w:trPr>
        <w:tc>
          <w:tcPr>
            <w:tcW w:type="pct" w:w="28%"/>
            <w:tcMar>
              <w:top w:type="dxa" w:w="60"/>
              <w:left w:type="dxa" w:w="90"/>
              <w:bottom w:type="dxa" w:w="60"/>
              <w:right w:type="dxa" w:w="90"/>
            </w:tcMar>
          </w:tcPr>
          <w:p>
            <w:pPr>
              <w:spacing w:after="0"/>
              <w:jc w:val="center"/>
            </w:pPr>
            <w:r>
              <w:rPr>
                <w:rFonts w:ascii="Calibri" w:cs="Calibri" w:eastAsia="Calibri" w:hAnsi="Calibri"/>
                <w:b/>
                <w:bCs/>
                <w:sz w:val="20"/>
                <w:szCs w:val="20"/>
              </w:rPr>
              <w:t xml:space="preserve">Pages par visite</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1,24</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7,75</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3,76</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2,79</w:t>
            </w:r>
          </w:p>
        </w:tc>
      </w:tr>
      <w:tr>
        <w:trPr>
          <w:tblHeader w:val="false"/>
        </w:trPr>
        <w:tc>
          <w:tcPr>
            <w:tcW w:type="pct" w:w="28%"/>
            <w:tcMar>
              <w:top w:type="dxa" w:w="60"/>
              <w:left w:type="dxa" w:w="90"/>
              <w:bottom w:type="dxa" w:w="60"/>
              <w:right w:type="dxa" w:w="90"/>
            </w:tcMar>
          </w:tcPr>
          <w:p>
            <w:pPr>
              <w:spacing w:after="0"/>
              <w:jc w:val="center"/>
            </w:pPr>
            <w:r>
              <w:rPr>
                <w:rFonts w:ascii="Calibri" w:cs="Calibri" w:eastAsia="Calibri" w:hAnsi="Calibri"/>
                <w:b/>
                <w:bCs/>
                <w:sz w:val="20"/>
                <w:szCs w:val="20"/>
              </w:rPr>
              <w:t xml:space="preserve">Taux de rebonds</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34,88 %</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26,79 %</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40,63 %</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31,13 %</w:t>
            </w:r>
          </w:p>
        </w:tc>
      </w:tr>
      <w:tr>
        <w:trPr>
          <w:tblHeader w:val="false"/>
        </w:trPr>
        <w:tc>
          <w:tcPr>
            <w:tcW w:type="pct" w:w="28%"/>
            <w:tcMar>
              <w:top w:type="dxa" w:w="60"/>
              <w:left w:type="dxa" w:w="90"/>
              <w:bottom w:type="dxa" w:w="60"/>
              <w:right w:type="dxa" w:w="90"/>
            </w:tcMar>
          </w:tcPr>
          <w:p>
            <w:pPr>
              <w:spacing w:after="0"/>
              <w:jc w:val="center"/>
            </w:pPr>
            <w:r>
              <w:rPr>
                <w:rFonts w:ascii="Calibri" w:cs="Calibri" w:eastAsia="Calibri" w:hAnsi="Calibri"/>
                <w:b/>
                <w:bCs/>
                <w:sz w:val="20"/>
                <w:szCs w:val="20"/>
              </w:rPr>
              <w:t xml:space="preserve">Durée de la visite</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N/A</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4 min 20 s</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59 s</w:t>
            </w:r>
          </w:p>
        </w:tc>
        <w:tc>
          <w:tcPr>
            <w:tcW w:type="pct" w:w="18%"/>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25 s</w:t>
            </w:r>
          </w:p>
        </w:tc>
      </w:tr>
    </w:tbl>
    <w:p>
      <w:pPr>
        <w:spacing w:after="160"/>
      </w:pPr>
    </w:p>
    <w:p>
      <w:pPr>
        <w:spacing w:after="120" w:before="220"/>
      </w:pPr>
      <w:r>
        <w:rPr>
          <w:rFonts w:ascii="Calibri" w:cs="Calibri" w:eastAsia="Calibri" w:hAnsi="Calibri"/>
          <w:b/>
          <w:bCs/>
          <w:color w:val="2E5496"/>
          <w:sz w:val="24"/>
          <w:szCs w:val="24"/>
        </w:rPr>
        <w:t xml:space="preserve">Conclusion du benchmark</w:t>
      </w:r>
    </w:p>
    <w:p>
      <w:pPr>
        <w:spacing w:after="120" w:line="276"/>
        <w:jc w:val="both"/>
      </w:pPr>
      <w:r>
        <w:rPr>
          <w:rFonts w:ascii="Calibri" w:cs="Calibri" w:eastAsia="Calibri" w:hAnsi="Calibri"/>
          <w:b w:val="false"/>
          <w:bCs w:val="false"/>
          <w:i w:val="false"/>
          <w:iCs w:val="false"/>
          <w:sz w:val="22"/>
          <w:szCs w:val="22"/>
        </w:rPr>
        <w:t xml:space="preserve">Audemar domine largement le trafic avec 13 659 visites par mois, soit près de deux fois plus que Harley-Davidson Toulon (7 351) et dix-neuf fois plus que notre site (710).</w:t>
      </w:r>
    </w:p>
    <w:p>
      <w:pPr>
        <w:spacing w:after="120" w:line="276"/>
        <w:jc w:val="both"/>
      </w:pPr>
      <w:r>
        <w:rPr>
          <w:rFonts w:ascii="Calibri" w:cs="Calibri" w:eastAsia="Calibri" w:hAnsi="Calibri"/>
          <w:b w:val="false"/>
          <w:bCs w:val="false"/>
          <w:i w:val="false"/>
          <w:iCs w:val="false"/>
          <w:sz w:val="22"/>
          <w:szCs w:val="22"/>
        </w:rPr>
        <w:t xml:space="preserve">Le volume ne dit pas tout. Audemar affiche le taux de rebond le plus élevé du panel (40,63 %) et la visite la plus courte (59 secondes). Les internautes viennent chercher un produit précis dans un très gros catalogue, puis repartent. Harley-Davidson Toulon fait l’inverse : 7,75 pages par visite, 4 minutes 20 de durée moyenne et le rebond le plus faible (26,79 %). C’est le site qui retient le mieux ses visiteurs, alors qu’il ne vend rien en ligne.</w:t>
      </w:r>
    </w:p>
    <w:p>
      <w:pPr>
        <w:spacing w:after="120" w:line="276"/>
        <w:jc w:val="both"/>
      </w:pPr>
      <w:r>
        <w:rPr>
          <w:rFonts w:ascii="Calibri" w:cs="Calibri" w:eastAsia="Calibri" w:hAnsi="Calibri"/>
          <w:b w:val="false"/>
          <w:bCs w:val="false"/>
          <w:i w:val="false"/>
          <w:iCs w:val="false"/>
          <w:sz w:val="22"/>
          <w:szCs w:val="22"/>
        </w:rPr>
        <w:t xml:space="preserve">Notre site est le plus faible sur tous les indicateurs. Le chiffre le plus parlant reste 1,24 page par visite : le visiteur consulte une page et quitte le site. La durée moyenne n’est même pas mesurée (N/A), le trafic étant trop faible pour que l’outil la calcule.</w:t>
      </w:r>
    </w:p>
    <w:p>
      <w:pPr>
        <w:spacing w:after="120" w:line="276"/>
        <w:jc w:val="both"/>
      </w:pPr>
      <w:r>
        <w:rPr>
          <w:rFonts w:ascii="Calibri" w:cs="Calibri" w:eastAsia="Calibri" w:hAnsi="Calibri"/>
          <w:b w:val="false"/>
          <w:bCs w:val="false"/>
          <w:i w:val="false"/>
          <w:iCs w:val="false"/>
          <w:sz w:val="22"/>
          <w:szCs w:val="22"/>
        </w:rPr>
        <w:t xml:space="preserve">Une limite de ce comparatif doit être signalée : les quatre sites ne font pas le même métier. Audemar regroupe cinq concessions et plusieurs marques avec une véritable boutique en ligne, Harley-Davidson Toulon est un site vitrine orienté prise de contact, et notre site se limite à la vente d’équipement. Comparer les volumes bruts a donc ses limites. En revanche les indicateurs de comportement (pages par visite, durée, taux de rebond) restent comparables, et c’est justement là que l’écart est le plus net.</w:t>
      </w:r>
    </w:p>
    <w:p>
      <w:pPr>
        <w:spacing w:after="160" w:before="280"/>
      </w:pPr>
      <w:r>
        <w:rPr>
          <w:rFonts w:ascii="Calibri" w:cs="Calibri" w:eastAsia="Calibri" w:hAnsi="Calibri"/>
          <w:b/>
          <w:bCs/>
          <w:color w:val="1F3864"/>
          <w:sz w:val="28"/>
          <w:szCs w:val="28"/>
        </w:rPr>
        <w:t xml:space="preserve">Travail 1.2 : Grille comparative des techniques d’e-merchandising</w:t>
      </w:r>
    </w:p>
    <w:p>
      <w:pPr>
        <w:spacing w:after="100" w:line="276"/>
        <w:jc w:val="left"/>
      </w:pPr>
      <w:r>
        <w:rPr>
          <w:rFonts w:ascii="Calibri" w:cs="Calibri" w:eastAsia="Calibri" w:hAnsi="Calibri"/>
          <w:b/>
          <w:bCs/>
          <w:i w:val="false"/>
          <w:iCs w:val="false"/>
          <w:sz w:val="22"/>
          <w:szCs w:val="22"/>
        </w:rPr>
        <w:t xml:space="preserve">Grille comparative des techniques d’e-merchandising : Road Spirit, Audemar et Harley-Davidson Toulon.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pct" w:w="40%"/>
            <w:tcMar>
              <w:top w:type="dxa" w:w="60"/>
              <w:left w:type="dxa" w:w="90"/>
              <w:bottom w:type="dxa" w:w="60"/>
              <w:right w:type="dxa" w:w="90"/>
            </w:tcMar>
          </w:tcPr>
          <w:p>
            <w:pPr>
              <w:spacing w:after="0"/>
              <w:jc w:val="center"/>
            </w:pPr>
            <w:r>
              <w:rPr>
                <w:rFonts w:ascii="Calibri" w:cs="Calibri" w:eastAsia="Calibri" w:hAnsi="Calibri"/>
                <w:b/>
                <w:bCs/>
                <w:sz w:val="20"/>
                <w:szCs w:val="20"/>
              </w:rPr>
              <w:t xml:space="preserve">TECHNIQUE</w:t>
            </w:r>
          </w:p>
        </w:tc>
        <w:tc>
          <w:tcPr>
            <w:tcW w:type="pct" w:w="20%"/>
            <w:tcMar>
              <w:top w:type="dxa" w:w="60"/>
              <w:left w:type="dxa" w:w="90"/>
              <w:bottom w:type="dxa" w:w="60"/>
              <w:right w:type="dxa" w:w="90"/>
            </w:tcMar>
          </w:tcPr>
          <w:p>
            <w:pPr>
              <w:spacing w:after="0"/>
              <w:jc w:val="center"/>
            </w:pPr>
            <w:r>
              <w:rPr>
                <w:rFonts w:ascii="Calibri" w:cs="Calibri" w:eastAsia="Calibri" w:hAnsi="Calibri"/>
                <w:b/>
                <w:bCs/>
                <w:sz w:val="20"/>
                <w:szCs w:val="20"/>
              </w:rPr>
              <w:t xml:space="preserve">MON UC</w:t>
            </w:r>
          </w:p>
        </w:tc>
        <w:tc>
          <w:tcPr>
            <w:tcW w:type="pct" w:w="20%"/>
            <w:tcMar>
              <w:top w:type="dxa" w:w="60"/>
              <w:left w:type="dxa" w:w="90"/>
              <w:bottom w:type="dxa" w:w="60"/>
              <w:right w:type="dxa" w:w="90"/>
            </w:tcMar>
          </w:tcPr>
          <w:p>
            <w:pPr>
              <w:spacing w:after="0"/>
              <w:jc w:val="center"/>
            </w:pPr>
            <w:r>
              <w:rPr>
                <w:rFonts w:ascii="Calibri" w:cs="Calibri" w:eastAsia="Calibri" w:hAnsi="Calibri"/>
                <w:b/>
                <w:bCs/>
                <w:sz w:val="20"/>
                <w:szCs w:val="20"/>
              </w:rPr>
              <w:t xml:space="preserve">CONCURRENT 1</w:t>
            </w:r>
          </w:p>
        </w:tc>
        <w:tc>
          <w:tcPr>
            <w:tcW w:type="pct" w:w="20%"/>
            <w:tcMar>
              <w:top w:type="dxa" w:w="60"/>
              <w:left w:type="dxa" w:w="90"/>
              <w:bottom w:type="dxa" w:w="60"/>
              <w:right w:type="dxa" w:w="90"/>
            </w:tcMar>
          </w:tcPr>
          <w:p>
            <w:pPr>
              <w:spacing w:after="0"/>
              <w:jc w:val="center"/>
            </w:pPr>
            <w:r>
              <w:rPr>
                <w:rFonts w:ascii="Calibri" w:cs="Calibri" w:eastAsia="Calibri" w:hAnsi="Calibri"/>
                <w:b/>
                <w:bCs/>
                <w:sz w:val="20"/>
                <w:szCs w:val="20"/>
              </w:rPr>
              <w:t xml:space="preserve">CONCURRENT 2</w:t>
            </w:r>
          </w:p>
        </w:tc>
      </w:tr>
      <w:tr>
        <w:tc>
          <w:tcPr>
            <w:tcW w:type="pct" w:w="40%"/>
            <w:tcMar>
              <w:top w:type="dxa" w:w="60"/>
              <w:left w:type="dxa" w:w="90"/>
              <w:bottom w:type="dxa" w:w="60"/>
              <w:right w:type="dxa" w:w="90"/>
            </w:tcMar>
          </w:tcPr>
          <w:p>
            <w:pPr>
              <w:spacing w:after="0"/>
              <w:jc w:val="left"/>
            </w:pPr>
            <w:r>
              <w:rPr>
                <w:rFonts w:ascii="Calibri" w:cs="Calibri" w:eastAsia="Calibri" w:hAnsi="Calibri"/>
                <w:b/>
                <w:bCs/>
                <w:sz w:val="20"/>
                <w:szCs w:val="20"/>
              </w:rPr>
              <w:t xml:space="preserve">Techniques pour organiser le parcours client</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Moteur de recherche</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Menu de navigation principal</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Menu de navigation secondaire</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Home page marchande</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Filtres de recherche</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 Cf. annexe 1</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Tri des résultats</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Aperçu rapide du produit (quick view)</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Wish list</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Pages véhicules (neufs et occasions)</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 Cf. annexe 6</w:t>
            </w:r>
          </w:p>
        </w:tc>
      </w:tr>
      <w:tr>
        <w:tc>
          <w:tcPr>
            <w:tcW w:type="pct" w:w="40%"/>
            <w:tcMar>
              <w:top w:type="dxa" w:w="60"/>
              <w:left w:type="dxa" w:w="90"/>
              <w:bottom w:type="dxa" w:w="60"/>
              <w:right w:type="dxa" w:w="90"/>
            </w:tcMar>
          </w:tcPr>
          <w:p>
            <w:pPr>
              <w:spacing w:after="0"/>
              <w:jc w:val="left"/>
            </w:pPr>
            <w:r>
              <w:rPr>
                <w:rFonts w:ascii="Calibri" w:cs="Calibri" w:eastAsia="Calibri" w:hAnsi="Calibri"/>
                <w:b/>
                <w:bCs/>
                <w:sz w:val="20"/>
                <w:szCs w:val="20"/>
              </w:rPr>
              <w:t xml:space="preserve">Techniques pour influencer le choix et augmenter la rentabilité</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Intitulés promotionnels</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Fenêtre pop up</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Chat client / clic to call</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 Cf. annexe 4</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Avis clients</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 Cf. annexe 5</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Suggestions personnalisées</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Nouveautés mises en avant</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r>
      <w:tr>
        <w:tc>
          <w:tcPr>
            <w:tcW w:type="pct" w:w="40%"/>
            <w:tcMar>
              <w:top w:type="dxa" w:w="60"/>
              <w:left w:type="dxa" w:w="90"/>
              <w:bottom w:type="dxa" w:w="60"/>
              <w:right w:type="dxa" w:w="90"/>
            </w:tcMar>
          </w:tcPr>
          <w:p>
            <w:pPr>
              <w:spacing w:after="0"/>
              <w:jc w:val="left"/>
            </w:pPr>
            <w:r>
              <w:rPr>
                <w:rFonts w:ascii="Calibri" w:cs="Calibri" w:eastAsia="Calibri" w:hAnsi="Calibri"/>
                <w:b/>
                <w:bCs/>
                <w:sz w:val="20"/>
                <w:szCs w:val="20"/>
              </w:rPr>
              <w:t xml:space="preserve">Techniques pour créer une ambiance propice à l’achat</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Fiche produit détaillée</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Photos de qualité</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 Cf. annexe 6</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Effet zoom</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Vidéo</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Visualisation à partir d’un choix d’options</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 Cf. annexe 6</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Guide des tailles</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 Cf. annexe 2</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Conseils, tutoriels, contenu éditorial</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 Cf. annexe 3</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Essayage virtuel</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bCs/>
                <w:sz w:val="20"/>
                <w:szCs w:val="20"/>
              </w:rPr>
              <w:t xml:space="preserve">Techniques pour vendre plus</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Vente complémentaire (cross selling)</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 Cf. annexe 2</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Vente additionnelle (produits similaires)</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Montée en gamme (up selling)</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Carte cadeau</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bCs/>
                <w:sz w:val="20"/>
                <w:szCs w:val="20"/>
              </w:rPr>
              <w:t xml:space="preserve">Techniques pour fidéliser et générer des contacts</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Compte client et historique d’achat</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Newsletter</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Offres spéciales réservées</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Réassurance (retour, retrait, livraison)</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r>
      <w:tr>
        <w:tc>
          <w:tcPr>
            <w:tcW w:type="pct" w:w="40%"/>
            <w:tcMar>
              <w:top w:type="dxa" w:w="60"/>
              <w:left w:type="dxa" w:w="90"/>
              <w:bottom w:type="dxa" w:w="60"/>
              <w:right w:type="dxa" w:w="90"/>
            </w:tcMar>
          </w:tcPr>
          <w:p>
            <w:pPr>
              <w:spacing w:after="0"/>
              <w:jc w:val="left"/>
            </w:pPr>
            <w:r>
              <w:rPr>
                <w:rFonts w:ascii="Calibri" w:cs="Calibri" w:eastAsia="Calibri" w:hAnsi="Calibri"/>
                <w:b w:val="false"/>
                <w:bCs w:val="false"/>
                <w:sz w:val="20"/>
                <w:szCs w:val="20"/>
              </w:rPr>
              <w:t xml:space="preserve">Formulaire de demande d’essai</w:t>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
            </w:r>
          </w:p>
        </w:tc>
        <w:tc>
          <w:tcPr>
            <w:tcW w:type="pct" w:w="20%"/>
            <w:tcMar>
              <w:top w:type="dxa" w:w="60"/>
              <w:left w:type="dxa" w:w="90"/>
              <w:bottom w:type="dxa" w:w="60"/>
              <w:right w:type="dxa" w:w="90"/>
            </w:tcMar>
          </w:tcPr>
          <w:p>
            <w:pPr>
              <w:spacing w:after="0"/>
              <w:jc w:val="center"/>
            </w:pPr>
            <w:r>
              <w:rPr>
                <w:rFonts w:ascii="Calibri" w:cs="Calibri" w:eastAsia="Calibri" w:hAnsi="Calibri"/>
                <w:b w:val="false"/>
                <w:bCs w:val="false"/>
                <w:sz w:val="20"/>
                <w:szCs w:val="20"/>
              </w:rPr>
              <w:t xml:space="preserve">X Cf. annexe 7</w:t>
            </w:r>
          </w:p>
        </w:tc>
      </w:tr>
    </w:tbl>
    <w:p>
      <w:pPr>
        <w:spacing w:after="140"/>
      </w:pPr>
    </w:p>
    <w:p>
      <w:pPr>
        <w:spacing w:after="160" w:line="276"/>
        <w:jc w:val="both"/>
      </w:pPr>
      <w:r>
        <w:rPr>
          <w:rFonts w:ascii="Calibri" w:cs="Calibri" w:eastAsia="Calibri" w:hAnsi="Calibri"/>
          <w:b w:val="false"/>
          <w:bCs w:val="false"/>
          <w:i/>
          <w:iCs/>
          <w:sz w:val="22"/>
          <w:szCs w:val="22"/>
        </w:rPr>
        <w:t xml:space="preserve">Lecture de la grille : X signifie que la technique a été constatée sur le site lors de l’analyse. Une case vide signifie qu’elle n’a pas été constatée. Les cases vides de la colonne Concurrent 2 sur les fonctions de boutique s’expliquent par l’absence de vente en ligne : la rubrique Boutique de Harley-Davidson Toulon est une vitrine, sans prix ni panier.</w:t>
      </w:r>
    </w:p>
    <w:p>
      <w:pPr>
        <w:spacing w:after="120" w:before="220"/>
      </w:pPr>
      <w:r>
        <w:rPr>
          <w:rFonts w:ascii="Calibri" w:cs="Calibri" w:eastAsia="Calibri" w:hAnsi="Calibri"/>
          <w:b/>
          <w:bCs/>
          <w:color w:val="2E5496"/>
          <w:sz w:val="24"/>
          <w:szCs w:val="24"/>
        </w:rPr>
        <w:t xml:space="preserve">Précisions relevées lors de l’analyse</w:t>
      </w:r>
    </w:p>
    <w:p>
      <w:pPr>
        <w:spacing w:after="40" w:line="276"/>
        <w:jc w:val="left"/>
      </w:pPr>
      <w:r>
        <w:rPr>
          <w:rFonts w:ascii="Calibri" w:cs="Calibri" w:eastAsia="Calibri" w:hAnsi="Calibri"/>
          <w:b w:val="false"/>
          <w:bCs w:val="false"/>
          <w:i w:val="false"/>
          <w:iCs w:val="false"/>
          <w:sz w:val="20"/>
          <w:szCs w:val="20"/>
        </w:rPr>
        <w:t xml:space="preserve">Filtres : notre boutique filtre par prix et par catégorie (cases à cocher). Audemar filtre par marque, par type de produit et par collection.</w:t>
      </w:r>
    </w:p>
    <w:p>
      <w:pPr>
        <w:spacing w:after="40" w:line="276"/>
        <w:jc w:val="left"/>
      </w:pPr>
      <w:r>
        <w:rPr>
          <w:rFonts w:ascii="Calibri" w:cs="Calibri" w:eastAsia="Calibri" w:hAnsi="Calibri"/>
          <w:b w:val="false"/>
          <w:bCs w:val="false"/>
          <w:i w:val="false"/>
          <w:iCs w:val="false"/>
          <w:sz w:val="20"/>
          <w:szCs w:val="20"/>
        </w:rPr>
        <w:t xml:space="preserve">Tri : sept critères de tri chez Audemar (pertinence, nom, prix, référence).</w:t>
      </w:r>
    </w:p>
    <w:p>
      <w:pPr>
        <w:spacing w:after="40" w:line="276"/>
        <w:jc w:val="left"/>
      </w:pPr>
      <w:r>
        <w:rPr>
          <w:rFonts w:ascii="Calibri" w:cs="Calibri" w:eastAsia="Calibri" w:hAnsi="Calibri"/>
          <w:b w:val="false"/>
          <w:bCs w:val="false"/>
          <w:i w:val="false"/>
          <w:iCs w:val="false"/>
          <w:sz w:val="20"/>
          <w:szCs w:val="20"/>
        </w:rPr>
        <w:t xml:space="preserve">Intitulés promotionnels : rubrique Bons plans et badges PROMO -30 % chez nous, badges -15 %, -7 % et -5 % chez Audemar, page Promotions chez Harley-Davidson.</w:t>
      </w:r>
    </w:p>
    <w:p>
      <w:pPr>
        <w:spacing w:after="40" w:line="276"/>
        <w:jc w:val="left"/>
      </w:pPr>
      <w:r>
        <w:rPr>
          <w:rFonts w:ascii="Calibri" w:cs="Calibri" w:eastAsia="Calibri" w:hAnsi="Calibri"/>
          <w:b w:val="false"/>
          <w:bCs w:val="false"/>
          <w:i w:val="false"/>
          <w:iCs w:val="false"/>
          <w:sz w:val="20"/>
          <w:szCs w:val="20"/>
        </w:rPr>
        <w:t xml:space="preserve">Fenêtre pop up : bandeau cookies seulement chez nous, inscription à la newsletter chez les deux concurrents.</w:t>
      </w:r>
    </w:p>
    <w:p>
      <w:pPr>
        <w:spacing w:after="40" w:line="276"/>
        <w:jc w:val="left"/>
      </w:pPr>
      <w:r>
        <w:rPr>
          <w:rFonts w:ascii="Calibri" w:cs="Calibri" w:eastAsia="Calibri" w:hAnsi="Calibri"/>
          <w:b w:val="false"/>
          <w:bCs w:val="false"/>
          <w:i w:val="false"/>
          <w:iCs w:val="false"/>
          <w:sz w:val="20"/>
          <w:szCs w:val="20"/>
        </w:rPr>
        <w:t xml:space="preserve">Chat et contact : chat Crisp chez nous, lien Nous téléphoner chez Audemar, clic to call et formulaire Besoin de détails chez Harley-Davidson.</w:t>
      </w:r>
    </w:p>
    <w:p>
      <w:pPr>
        <w:spacing w:after="40" w:line="276"/>
        <w:jc w:val="left"/>
      </w:pPr>
      <w:r>
        <w:rPr>
          <w:rFonts w:ascii="Calibri" w:cs="Calibri" w:eastAsia="Calibri" w:hAnsi="Calibri"/>
          <w:b w:val="false"/>
          <w:bCs w:val="false"/>
          <w:i w:val="false"/>
          <w:iCs w:val="false"/>
          <w:sz w:val="20"/>
          <w:szCs w:val="20"/>
        </w:rPr>
        <w:t xml:space="preserve">Photos : quatre visuels par produit chez nous, trente-quatre visuels par modèle chez Harley-Davidson.</w:t>
      </w:r>
    </w:p>
    <w:p>
      <w:pPr>
        <w:spacing w:after="40" w:line="276"/>
        <w:jc w:val="left"/>
      </w:pPr>
      <w:r>
        <w:rPr>
          <w:rFonts w:ascii="Calibri" w:cs="Calibri" w:eastAsia="Calibri" w:hAnsi="Calibri"/>
          <w:b w:val="false"/>
          <w:bCs w:val="false"/>
          <w:i w:val="false"/>
          <w:iCs w:val="false"/>
          <w:sz w:val="20"/>
          <w:szCs w:val="20"/>
        </w:rPr>
        <w:t xml:space="preserve">Choix d’options : tailles chez nous, couleur et taille chez Audemar, vingt coloris visualisables chez Harley-Davidson.</w:t>
      </w:r>
    </w:p>
    <w:p>
      <w:pPr>
        <w:spacing w:after="40" w:line="276"/>
        <w:jc w:val="left"/>
      </w:pPr>
      <w:r>
        <w:rPr>
          <w:rFonts w:ascii="Calibri" w:cs="Calibri" w:eastAsia="Calibri" w:hAnsi="Calibri"/>
          <w:b w:val="false"/>
          <w:bCs w:val="false"/>
          <w:i w:val="false"/>
          <w:iCs w:val="false"/>
          <w:sz w:val="20"/>
          <w:szCs w:val="20"/>
        </w:rPr>
        <w:t xml:space="preserve">Vente additionnelle : trois produits similaires générés automatiquement chez nous, sans association choisie.</w:t>
      </w:r>
    </w:p>
    <w:p>
      <w:pPr>
        <w:spacing w:after="40" w:line="276"/>
        <w:jc w:val="left"/>
      </w:pPr>
      <w:r>
        <w:rPr>
          <w:rFonts w:ascii="Calibri" w:cs="Calibri" w:eastAsia="Calibri" w:hAnsi="Calibri"/>
          <w:b w:val="false"/>
          <w:bCs w:val="false"/>
          <w:i w:val="false"/>
          <w:iCs w:val="false"/>
          <w:sz w:val="20"/>
          <w:szCs w:val="20"/>
        </w:rPr>
        <w:t xml:space="preserve">Réassurance : retour sous 30 jours, retrait en magasin en 3 heures et livraison offerte chez nous.</w:t>
      </w:r>
    </w:p>
    <w:p>
      <w:pPr>
        <w:spacing w:after="120"/>
      </w:pPr>
    </w:p>
    <w:p>
      <w:pPr>
        <w:spacing w:after="120" w:before="220"/>
      </w:pPr>
      <w:r>
        <w:rPr>
          <w:rFonts w:ascii="Calibri" w:cs="Calibri" w:eastAsia="Calibri" w:hAnsi="Calibri"/>
          <w:b/>
          <w:bCs/>
          <w:color w:val="2E5496"/>
          <w:sz w:val="24"/>
          <w:szCs w:val="24"/>
        </w:rPr>
        <w:t xml:space="preserve">Annexes à joindre (captures d’écran)</w:t>
      </w:r>
    </w:p>
    <w:p>
      <w:pPr>
        <w:spacing w:after="40" w:line="276"/>
        <w:jc w:val="left"/>
      </w:pPr>
      <w:r>
        <w:rPr>
          <w:rFonts w:ascii="Calibri" w:cs="Calibri" w:eastAsia="Calibri" w:hAnsi="Calibri"/>
          <w:b w:val="false"/>
          <w:bCs w:val="false"/>
          <w:i w:val="false"/>
          <w:iCs w:val="false"/>
          <w:sz w:val="20"/>
          <w:szCs w:val="20"/>
        </w:rPr>
        <w:t xml:space="preserve">Annexe 1 : filtres à facettes d’Audemar (marque, type de produit, collection par marque).</w:t>
      </w:r>
    </w:p>
    <w:p>
      <w:pPr>
        <w:spacing w:after="40" w:line="276"/>
        <w:jc w:val="left"/>
      </w:pPr>
      <w:r>
        <w:rPr>
          <w:rFonts w:ascii="Calibri" w:cs="Calibri" w:eastAsia="Calibri" w:hAnsi="Calibri"/>
          <w:b w:val="false"/>
          <w:bCs w:val="false"/>
          <w:i w:val="false"/>
          <w:iCs w:val="false"/>
          <w:sz w:val="20"/>
          <w:szCs w:val="20"/>
        </w:rPr>
        <w:t xml:space="preserve">Annexe 2 : fiche produit Audemar, bloc Accessoires (vente complémentaire) et guide des tailles.</w:t>
      </w:r>
    </w:p>
    <w:p>
      <w:pPr>
        <w:spacing w:after="40" w:line="276"/>
        <w:jc w:val="left"/>
      </w:pPr>
      <w:r>
        <w:rPr>
          <w:rFonts w:ascii="Calibri" w:cs="Calibri" w:eastAsia="Calibri" w:hAnsi="Calibri"/>
          <w:b w:val="false"/>
          <w:bCs w:val="false"/>
          <w:i w:val="false"/>
          <w:iCs w:val="false"/>
          <w:sz w:val="20"/>
          <w:szCs w:val="20"/>
        </w:rPr>
        <w:t xml:space="preserve">Annexe 3 : blog d’Audemar, comparatifs de modèles et conseils.</w:t>
      </w:r>
    </w:p>
    <w:p>
      <w:pPr>
        <w:spacing w:after="40" w:line="276"/>
        <w:jc w:val="left"/>
      </w:pPr>
      <w:r>
        <w:rPr>
          <w:rFonts w:ascii="Calibri" w:cs="Calibri" w:eastAsia="Calibri" w:hAnsi="Calibri"/>
          <w:b w:val="false"/>
          <w:bCs w:val="false"/>
          <w:i w:val="false"/>
          <w:iCs w:val="false"/>
          <w:sz w:val="20"/>
          <w:szCs w:val="20"/>
        </w:rPr>
        <w:t xml:space="preserve">Annexe 4 : formulaire Besoin de détails de Harley-Davidson Toulon.</w:t>
      </w:r>
    </w:p>
    <w:p>
      <w:pPr>
        <w:spacing w:after="40" w:line="276"/>
        <w:jc w:val="left"/>
      </w:pPr>
      <w:r>
        <w:rPr>
          <w:rFonts w:ascii="Calibri" w:cs="Calibri" w:eastAsia="Calibri" w:hAnsi="Calibri"/>
          <w:b w:val="false"/>
          <w:bCs w:val="false"/>
          <w:i w:val="false"/>
          <w:iCs w:val="false"/>
          <w:sz w:val="20"/>
          <w:szCs w:val="20"/>
        </w:rPr>
        <w:t xml:space="preserve">Annexe 5 : page Avis de Harley-Davidson Toulon, avis déposés par service avec notation.</w:t>
      </w:r>
    </w:p>
    <w:p>
      <w:pPr>
        <w:spacing w:after="40" w:line="276"/>
        <w:jc w:val="left"/>
      </w:pPr>
      <w:r>
        <w:rPr>
          <w:rFonts w:ascii="Calibri" w:cs="Calibri" w:eastAsia="Calibri" w:hAnsi="Calibri"/>
          <w:b w:val="false"/>
          <w:bCs w:val="false"/>
          <w:i w:val="false"/>
          <w:iCs w:val="false"/>
          <w:sz w:val="20"/>
          <w:szCs w:val="20"/>
        </w:rPr>
        <w:t xml:space="preserve">Annexe 6 : fiche modèle Harley-Davidson, visuels, coloris et caractéristiques détaillées.</w:t>
      </w:r>
    </w:p>
    <w:p>
      <w:pPr>
        <w:spacing w:after="40" w:line="276"/>
        <w:jc w:val="left"/>
      </w:pPr>
      <w:r>
        <w:rPr>
          <w:rFonts w:ascii="Calibri" w:cs="Calibri" w:eastAsia="Calibri" w:hAnsi="Calibri"/>
          <w:b w:val="false"/>
          <w:bCs w:val="false"/>
          <w:i w:val="false"/>
          <w:iCs w:val="false"/>
          <w:sz w:val="20"/>
          <w:szCs w:val="20"/>
        </w:rPr>
        <w:t xml:space="preserve">Annexe 7 : formulaire Demande d’essai de Harley-Davidson Toulon.</w:t>
      </w:r>
    </w:p>
    <w:p>
      <w:pPr>
        <w:spacing w:after="160" w:before="280"/>
      </w:pPr>
      <w:r>
        <w:rPr>
          <w:rFonts w:ascii="Calibri" w:cs="Calibri" w:eastAsia="Calibri" w:hAnsi="Calibri"/>
          <w:b/>
          <w:bCs/>
          <w:color w:val="1F3864"/>
          <w:sz w:val="28"/>
          <w:szCs w:val="28"/>
        </w:rPr>
        <w:t xml:space="preserve">Travail 2 : Préconisations</w:t>
      </w:r>
    </w:p>
    <w:p>
      <w:pPr>
        <w:spacing w:after="120" w:before="220"/>
      </w:pPr>
      <w:r>
        <w:rPr>
          <w:rFonts w:ascii="Calibri" w:cs="Calibri" w:eastAsia="Calibri" w:hAnsi="Calibri"/>
          <w:b/>
          <w:bCs/>
          <w:color w:val="2E5496"/>
          <w:sz w:val="24"/>
          <w:szCs w:val="24"/>
        </w:rPr>
        <w:t xml:space="preserve">Préconisation 1 : créer des pages véhicules avec un formulaire de demande d’essai</w:t>
      </w:r>
    </w:p>
    <w:p>
      <w:pPr>
        <w:spacing w:after="120" w:line="276"/>
        <w:jc w:val="both"/>
      </w:pPr>
      <w:r>
        <w:rPr>
          <w:rFonts w:ascii="Calibri" w:cs="Calibri" w:eastAsia="Calibri" w:hAnsi="Calibri"/>
          <w:b w:val="false"/>
          <w:bCs w:val="false"/>
          <w:i w:val="false"/>
          <w:iCs w:val="false"/>
          <w:sz w:val="22"/>
          <w:szCs w:val="22"/>
        </w:rPr>
        <w:t xml:space="preserve">Notre site ne propose aucune page moto, ni neuve ni occasion, alors que la vente de motos est le cœur du métier de la concession. Un client qui cherche une Triumph à Toulon arrive sur une boutique d’équipement, ne trouve pas ce qu’il venait voir et repart. C’est ce qui explique le 1,24 page par visite.</w:t>
      </w:r>
    </w:p>
    <w:p>
      <w:pPr>
        <w:spacing w:after="120" w:line="276"/>
        <w:jc w:val="both"/>
      </w:pPr>
      <w:r>
        <w:rPr>
          <w:rFonts w:ascii="Calibri" w:cs="Calibri" w:eastAsia="Calibri" w:hAnsi="Calibri"/>
          <w:b w:val="false"/>
          <w:bCs w:val="false"/>
          <w:i w:val="false"/>
          <w:iCs w:val="false"/>
          <w:sz w:val="22"/>
          <w:szCs w:val="22"/>
        </w:rPr>
        <w:t xml:space="preserve">Harley-Davidson Toulon montre qu’il n’est pas nécessaire de vendre en ligne pour retenir un visiteur. Une trentaine de fiches modèles, les coloris visualisables, les caractéristiques détaillées et un bouton Réserver un essai répété trois fois dans la page suffisent à atteindre 7,75 pages par visite et 4 minutes 20 de durée moyenne. Pour une concession, un site ne sert pas seulement à vendre des gants : il sert à faire venir un client en essai.</w:t>
      </w:r>
    </w:p>
    <w:p>
      <w:pPr>
        <w:spacing w:after="120" w:line="276"/>
        <w:jc w:val="both"/>
      </w:pPr>
      <w:r>
        <w:rPr>
          <w:rFonts w:ascii="Calibri" w:cs="Calibri" w:eastAsia="Calibri" w:hAnsi="Calibri"/>
          <w:b w:val="false"/>
          <w:bCs w:val="false"/>
          <w:i w:val="false"/>
          <w:iCs w:val="false"/>
          <w:sz w:val="22"/>
          <w:szCs w:val="22"/>
        </w:rPr>
        <w:t xml:space="preserve">Effet attendu : davantage de pages vues par visite, une durée de visite enfin mesurable, et surtout des contacts qualifiés que le service commercial peut rappeler.</w:t>
      </w:r>
    </w:p>
    <w:p>
      <w:pPr>
        <w:spacing w:after="120" w:before="220"/>
      </w:pPr>
      <w:r>
        <w:rPr>
          <w:rFonts w:ascii="Calibri" w:cs="Calibri" w:eastAsia="Calibri" w:hAnsi="Calibri"/>
          <w:b/>
          <w:bCs/>
          <w:color w:val="2E5496"/>
          <w:sz w:val="24"/>
          <w:szCs w:val="24"/>
        </w:rPr>
        <w:t xml:space="preserve">Préconisation 2 : activer les avis clients sur la boutique</w:t>
      </w:r>
    </w:p>
    <w:p>
      <w:pPr>
        <w:spacing w:after="120" w:line="276"/>
        <w:jc w:val="both"/>
      </w:pPr>
      <w:r>
        <w:rPr>
          <w:rFonts w:ascii="Calibri" w:cs="Calibri" w:eastAsia="Calibri" w:hAnsi="Calibri"/>
          <w:b w:val="false"/>
          <w:bCs w:val="false"/>
          <w:i w:val="false"/>
          <w:iCs w:val="false"/>
          <w:sz w:val="22"/>
          <w:szCs w:val="22"/>
        </w:rPr>
        <w:t xml:space="preserve">Le module d’avis de notre boutique est désactivé : aucune fiche produit n’affiche de note ni de commentaire. L’équipement moto s’achète pourtant mal à l’aveugle. Le client veut savoir si un blouson taille petit ou si des gants sont réellement étanches. Harley-Davidson Toulon va plus loin en consacrant une page entière aux avis, classés par service (commercial, après-vente, pièces et accessoires).</w:t>
      </w:r>
    </w:p>
    <w:p>
      <w:pPr>
        <w:spacing w:after="120" w:line="276"/>
        <w:jc w:val="both"/>
      </w:pPr>
      <w:r>
        <w:rPr>
          <w:rFonts w:ascii="Calibri" w:cs="Calibri" w:eastAsia="Calibri" w:hAnsi="Calibri"/>
          <w:b w:val="false"/>
          <w:bCs w:val="false"/>
          <w:i w:val="false"/>
          <w:iCs w:val="false"/>
          <w:sz w:val="22"/>
          <w:szCs w:val="22"/>
        </w:rPr>
        <w:t xml:space="preserve">L’avis rassure l’acheteur qui ne peut pas essayer le produit, et il fait baisser le taux de retour. Il alimente aussi le référencement naturel avec du contenu gratuit, rédigé par les clients eux-mêmes.</w:t>
      </w:r>
    </w:p>
    <w:p>
      <w:pPr>
        <w:spacing w:after="120" w:line="276"/>
        <w:jc w:val="both"/>
      </w:pPr>
      <w:r>
        <w:rPr>
          <w:rFonts w:ascii="Calibri" w:cs="Calibri" w:eastAsia="Calibri" w:hAnsi="Calibri"/>
          <w:b w:val="false"/>
          <w:bCs w:val="false"/>
          <w:i w:val="false"/>
          <w:iCs w:val="false"/>
          <w:sz w:val="22"/>
          <w:szCs w:val="22"/>
        </w:rPr>
        <w:t xml:space="preserve">Le coût est nul : la fonction existe déjà dans la boutique. Il suffit de l’activer, puis de relancer les clients par email quelques jours après la livraison.</w:t>
      </w:r>
    </w:p>
    <w:p>
      <w:pPr>
        <w:spacing w:after="120" w:before="220"/>
      </w:pPr>
      <w:r>
        <w:rPr>
          <w:rFonts w:ascii="Calibri" w:cs="Calibri" w:eastAsia="Calibri" w:hAnsi="Calibri"/>
          <w:b/>
          <w:bCs/>
          <w:color w:val="2E5496"/>
          <w:sz w:val="24"/>
          <w:szCs w:val="24"/>
        </w:rPr>
        <w:t xml:space="preserve">Préconisation 3 : enrichir les filtres et la vente complémentaire de la boutique</w:t>
      </w:r>
    </w:p>
    <w:p>
      <w:pPr>
        <w:spacing w:after="120" w:line="276"/>
        <w:jc w:val="both"/>
      </w:pPr>
      <w:r>
        <w:rPr>
          <w:rFonts w:ascii="Calibri" w:cs="Calibri" w:eastAsia="Calibri" w:hAnsi="Calibri"/>
          <w:b w:val="false"/>
          <w:bCs w:val="false"/>
          <w:i w:val="false"/>
          <w:iCs w:val="false"/>
          <w:sz w:val="22"/>
          <w:szCs w:val="22"/>
        </w:rPr>
        <w:t xml:space="preserve">Notre boutique propose un filtre par prix, des cases à cocher par catégorie et un tri. Audemar fait sensiblement mieux : filtres par marque, par type de produit et par collection, aperçu rapide sans quitter la liste, guide des tailles et bloc Accessoires sur chaque fiche produit.</w:t>
      </w:r>
    </w:p>
    <w:p>
      <w:pPr>
        <w:spacing w:after="120" w:line="276"/>
        <w:jc w:val="both"/>
      </w:pPr>
      <w:r>
        <w:rPr>
          <w:rFonts w:ascii="Calibri" w:cs="Calibri" w:eastAsia="Calibri" w:hAnsi="Calibri"/>
          <w:b w:val="false"/>
          <w:bCs w:val="false"/>
          <w:i w:val="false"/>
          <w:iCs w:val="false"/>
          <w:sz w:val="22"/>
          <w:szCs w:val="22"/>
        </w:rPr>
        <w:t xml:space="preserve">Deux manques sont concrets chez nous. Le guide des tailles est absent, ce qui provoque des retours évitables sur les blousons et les gants. La vente complémentaire se limite à trois produits similaires choisis automatiquement par la boutique, sans association réfléchie du type blouson avec les gants et le tour de cou assortis.</w:t>
      </w:r>
    </w:p>
    <w:p>
      <w:pPr>
        <w:spacing w:after="120" w:line="276"/>
        <w:jc w:val="both"/>
      </w:pPr>
      <w:r>
        <w:rPr>
          <w:rFonts w:ascii="Calibri" w:cs="Calibri" w:eastAsia="Calibri" w:hAnsi="Calibri"/>
          <w:b w:val="false"/>
          <w:bCs w:val="false"/>
          <w:i w:val="false"/>
          <w:iCs w:val="false"/>
          <w:sz w:val="22"/>
          <w:szCs w:val="22"/>
        </w:rPr>
        <w:t xml:space="preserve">Résultat attendu : moins d’abandons pendant la recherche, moins de retours à traiter, et un panier moyen plus élevé.</w:t>
      </w:r>
    </w:p>
    <w:p>
      <w:pPr>
        <w:spacing w:after="120" w:before="220"/>
      </w:pPr>
      <w:r>
        <w:rPr>
          <w:rFonts w:ascii="Calibri" w:cs="Calibri" w:eastAsia="Calibri" w:hAnsi="Calibri"/>
          <w:b/>
          <w:bCs/>
          <w:color w:val="2E5496"/>
          <w:sz w:val="24"/>
          <w:szCs w:val="24"/>
        </w:rPr>
        <w:t xml:space="preserve">Préconisation 4 : mettre la page d’accueil à jour</w:t>
      </w:r>
    </w:p>
    <w:p>
      <w:pPr>
        <w:spacing w:after="120" w:line="276"/>
        <w:jc w:val="both"/>
      </w:pPr>
      <w:r>
        <w:rPr>
          <w:rFonts w:ascii="Calibri" w:cs="Calibri" w:eastAsia="Calibri" w:hAnsi="Calibri"/>
          <w:b w:val="false"/>
          <w:bCs w:val="false"/>
          <w:i w:val="false"/>
          <w:iCs w:val="false"/>
          <w:sz w:val="22"/>
          <w:szCs w:val="22"/>
        </w:rPr>
        <w:t xml:space="preserve">La page d’accueil met en avant la Nouvelle Speed Triple RR 2022. Nous sommes en septembre 2026 : cette nouveauté a quatre ans. Un visiteur qui tombe sur ce bloc peut légitimement douter que la concession suive sa propre gamme.</w:t>
      </w:r>
    </w:p>
    <w:p>
      <w:pPr>
        <w:spacing w:after="120" w:line="276"/>
        <w:jc w:val="both"/>
      </w:pPr>
      <w:r>
        <w:rPr>
          <w:rFonts w:ascii="Calibri" w:cs="Calibri" w:eastAsia="Calibri" w:hAnsi="Calibri"/>
          <w:b w:val="false"/>
          <w:bCs w:val="false"/>
          <w:i w:val="false"/>
          <w:iCs w:val="false"/>
          <w:sz w:val="22"/>
          <w:szCs w:val="22"/>
        </w:rPr>
        <w:t xml:space="preserve">Il faut la remplacer par la gamme 2026, les bons plans en cours et les nouveautés de la boutique. C’est la correction la moins coûteuse des quatre, et la plus visible.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Développer les performances de l’espace commercial</dc:title>
  <dc:creator>Mathis Gourden</dc:creator>
  <cp:lastModifiedBy>Un-named</cp:lastModifiedBy>
  <cp:revision>1</cp:revision>
  <dcterms:created xsi:type="dcterms:W3CDTF">2026-09-29T15:56:57.476Z</dcterms:created>
  <dcterms:modified xsi:type="dcterms:W3CDTF">2026-09-29T15:56:57.477Z</dcterms:modified>
</cp:coreProperties>
</file>

<file path=docProps/custom.xml><?xml version="1.0" encoding="utf-8"?>
<Properties xmlns="http://schemas.openxmlformats.org/officeDocument/2006/custom-properties" xmlns:vt="http://schemas.openxmlformats.org/officeDocument/2006/docPropsVTypes"/>
</file>