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Mathis Gourden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Développeur web freelance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Micro-entrepreneur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SIRET : [en cours de création]</w:t>
            </w:r>
          </w:p>
          <w:p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mathisgourden05@gmail.com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Road Spirit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Concession Triumph Officielle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Ollioules (83)</w:t>
            </w:r>
          </w:p>
        </w:tc>
      </w:tr>
    </w:tbl>
    <w:p>
      <w:pPr>
        <w:spacing w:after="0" w:before="200"/>
      </w:pPr>
    </w:p>
    <w:p>
      <w:pPr>
        <w:pBdr>
          <w:bottom w:val="single" w:color="8B6914" w:sz="8" w:space="1"/>
        </w:pBdr>
        <w:spacing w:after="60" w:before="60"/>
      </w:pPr>
    </w:p>
    <w:p>
      <w:pPr>
        <w:spacing w:after="60" w:before="40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DEVIS N° 2026-001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Création site web &amp; application de gestion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 : 31 mai 2026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    |  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Validité : 30 jours</w:t>
      </w:r>
    </w:p>
    <w:p>
      <w:pPr>
        <w:spacing w:after="0" w:before="100"/>
      </w:pPr>
    </w:p>
    <w:p>
      <w:pPr>
        <w:pBdr>
          <w:bottom w:val="single" w:color="DDDDDD" w:sz="8" w:space="1"/>
        </w:pBdr>
        <w:spacing w:after="0" w:before="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DÉTAIL DES PRESTATIONS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680"/>
        <w:gridCol w:w="5760"/>
        <w:gridCol w:w="15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Prestation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HT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Homepage premium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Design sur mesure, animations GSAP/Lenis, hero moto animé, sections motos / équipements / services / brand story, entièrement responsive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1 800 €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Boutique e-commerce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Catalogue 150+ produits, filtres par catégorie et prix, tri, page produit détaillée, gestion tailles et couleurs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1 500 €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Tunnel de commande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Panier, page paiement (CB / PayPal / virement), intégration Stripe Payment Link, page confirmation, vidage panier automatique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700 €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Pages secondaires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Motos (grille + modale), Services + formulaire contact, CGV, Mentions légales, Politique de confidentialité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500 €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Optimisations techniques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SEO on-page (meta, Open Graph), favicon, CSS partagé, catalogue embarqué (fonctionne sans serveur), compatibilité navigateurs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300 €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 de gestion interne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Interface sécurisée (Supabase), tableau de bord temps réel, gestion essais / commandes / stock / équipe, export CSV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1 800 €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HT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6 600 €</w:t>
            </w:r>
          </w:p>
        </w:tc>
      </w:tr>
    </w:tbl>
    <w:p>
      <w:pPr>
        <w:spacing w:after="0" w:before="80"/>
        <w:jc w:val="right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TVA non applicable — article 293 B du CGI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CONDITIONS DE PAIEMENT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Échéance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19"/>
                <w:szCs w:val="19"/>
              </w:rPr>
              <w:t xml:space="preserve">1 980 € (30 %)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À la signature du devis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Solde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19"/>
                <w:szCs w:val="19"/>
              </w:rPr>
              <w:t xml:space="preserve">4 620 € (70 %)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À la livraison finale validée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Paiement par virement bancaire — IBAN : [à compléter]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Inclus</w:t>
            </w:r>
          </w:p>
          <w:p>
            <w:pPr>
              <w:spacing w:after="0" w:before="6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Mise en ligne sur Netlify (hébergement gratuit) ou hébergement client</w:t>
            </w:r>
          </w:p>
          <w:p>
            <w:pPr>
              <w:spacing w:after="0" w:before="6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jours de corrections post-livraison inclus</w:t>
            </w:r>
          </w:p>
          <w:p>
            <w:pPr>
              <w:spacing w:after="0" w:before="6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Formation utilisation app interne (1 h en visioconférence)</w:t>
            </w:r>
          </w:p>
          <w:p>
            <w:pPr>
              <w:spacing w:after="0" w:before="6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source complet livré — le client en est propriétaire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Non inclus</w:t>
            </w:r>
          </w:p>
          <w:p>
            <w:pPr>
              <w:spacing w:after="0" w:before="6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Nom de domaine et hébergement (~15 €/mois selon formule)</w:t>
            </w:r>
          </w:p>
          <w:p>
            <w:pPr>
              <w:spacing w:after="0" w:before="6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Frais Stripe : 2,9 % + 0,25 € par transaction</w:t>
            </w:r>
          </w:p>
          <w:p>
            <w:pPr>
              <w:spacing w:after="0" w:before="6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Maintenance mensuelle (sur devis séparé : à partir de 150 €/mois)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 pour accord — Signature et cachet client</w:t>
            </w:r>
          </w:p>
          <w:p>
            <w:pPr>
              <w:spacing w:after="0" w:before="160"/>
            </w:pP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 :</w:t>
            </w:r>
          </w:p>
          <w:p>
            <w:pPr>
              <w:spacing w:after="0" w:before="160"/>
            </w:pP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Devis valable 30 jours — </w:t>
    </w:r>
    <w:r>
      <w:rPr>
        <w:rFonts w:ascii="Arial" w:cs="Arial" w:eastAsia="Arial" w:hAnsi="Arial"/>
        <w:color w:val="666666"/>
        <w:sz w:val="16"/>
        <w:szCs w:val="16"/>
      </w:rPr>
      <w:t xml:space="preserve">Ce devis vaut contrat à la signature.</w:t>
    </w:r>
    <w:r>
      <w:rPr>
        <w:rFonts w:ascii="Arial" w:cs="Arial" w:eastAsia="Arial" w:hAnsi="Arial"/>
        <w:color w:val="666666"/>
        <w:sz w:val="16"/>
        <w:szCs w:val="16"/>
      </w:rPr>
      <w:t xml:space="preserve">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2026-05-31T20:47:20.109Z</dcterms:created>
  <dcterms:modified xsi:type="dcterms:W3CDTF">2026-05-31T20:47:20.110Z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