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tabs>
          <w:tab w:val="right" w:pos="9026"/>
        </w:tabs>
        <w:spacing w:after="40"/>
      </w:pPr>
      <w:r>
        <w:rPr>
          <w:b/>
          <w:bCs/>
        </w:rPr>
        <w:t xml:space="preserve">Mathis Gourden</w:t>
      </w:r>
      <w:r>
        <w:t xml:space="preserve">	CEJM — Culture économique, juridique et managériale</w:t>
      </w:r>
    </w:p>
    <w:p>
      <w:pPr>
        <w:tabs>
          <w:tab w:val="right" w:pos="9026"/>
        </w:tabs>
        <w:spacing w:after="240"/>
      </w:pPr>
      <w:r>
        <w:rPr>
          <w:color w:val="555555"/>
        </w:rPr>
        <w:t xml:space="preserve">BTS MCO – 2ᵉ année</w:t>
      </w:r>
      <w:r>
        <w:rPr>
          <w:color w:val="555555"/>
        </w:rPr>
        <w:t xml:space="preserve">	Devoir maison</w:t>
      </w:r>
    </w:p>
    <w:p>
      <w:pPr>
        <w:spacing w:after="40" w:before="120"/>
        <w:jc w:val="center"/>
      </w:pPr>
      <w:r>
        <w:rPr>
          <w:b/>
          <w:bCs/>
          <w:sz w:val="34"/>
          <w:szCs w:val="34"/>
        </w:rPr>
        <w:t xml:space="preserve">Cas d’entreprise : Nestlé</w:t>
      </w:r>
    </w:p>
    <w:p>
      <w:pPr>
        <w:spacing w:after="300"/>
        <w:jc w:val="center"/>
      </w:pPr>
      <w:r>
        <w:rPr>
          <w:i/>
          <w:iCs/>
          <w:color w:val="555555"/>
          <w:sz w:val="22"/>
          <w:szCs w:val="22"/>
        </w:rPr>
        <w:t xml:space="preserve">Chapitre 12 – Les réponses du droit face aux risques liés à l’activité de l’entreprise</w:t>
      </w:r>
    </w:p>
    <w:p>
      <w:pPr>
        <w:pStyle w:val="Heading1"/>
      </w:pPr>
      <w:r>
        <w:t xml:space="preserve">Mission 1 · Responsabilités pénale et civile de l’entreprise</w:t>
      </w:r>
    </w:p>
    <w:p>
      <w:pPr>
        <w:spacing w:after="100" w:before="260"/>
      </w:pPr>
      <w:r>
        <w:rPr>
          <w:b/>
          <w:bCs/>
          <w:sz w:val="24"/>
          <w:szCs w:val="24"/>
        </w:rPr>
        <w:t xml:space="preserve">1. Présentez les faits reprochés aux deux entreprises du groupe Nestlé.</w:t>
      </w:r>
    </w:p>
    <w:p>
      <w:pPr>
        <w:spacing w:after="160" w:line="276"/>
        <w:jc w:val="both"/>
      </w:pPr>
      <w:r>
        <w:rPr>
          <w:sz w:val="24"/>
          <w:szCs w:val="24"/>
        </w:rPr>
        <w:t xml:space="preserve">Deux boîtes du groupe Nestlé sont visées, mais pour des histoires très différentes. D’abord Buitoni. Mars 2022 : rappel en urgence des pizzas surgelées Fraich’Up. La cause ? Des bactéries E. coli dans la pâte. Résultat, plusieurs jeunes enfants tombent gravement malades (un syndrome appelé SHU, avec insuffisance rénale) et deux en meurent. Ce qu’on reproche à Buitoni, c’est d’avoir vendu des produits contaminés, dangereux à consommer. Les plaintes tombent : homicide involontaire, blessures involontaires, mise en danger de la vie d’autrui par imprudence, tromperie aggravée. Ensuite l’usine de Challerange, celle qui fabrique le lait en poudre pour les capsules de café. En août 2020, elle laisse partir dans l’Aisne des effluents, c’est-à-dire des boues de sa station d’épuration. Rivière polluée, des milliers de poissons morts. La Fédération de pêche des Ardennes et des associations portent plainte pour pollution, sur le fondement de l’article L. 432-2 du Code de l’environnement.</w:t>
      </w:r>
    </w:p>
    <w:p>
      <w:pPr>
        <w:spacing w:after="100" w:before="260"/>
      </w:pPr>
      <w:r>
        <w:rPr>
          <w:b/>
          <w:bCs/>
          <w:sz w:val="24"/>
          <w:szCs w:val="24"/>
        </w:rPr>
        <w:t xml:space="preserve">2. Précisez la nature des responsabilités de l’entreprise pour chacune des situations.</w:t>
      </w:r>
    </w:p>
    <w:p>
      <w:pPr>
        <w:spacing w:after="160" w:line="276"/>
        <w:jc w:val="both"/>
      </w:pPr>
      <w:r>
        <w:rPr>
          <w:sz w:val="24"/>
          <w:szCs w:val="24"/>
        </w:rPr>
        <w:t xml:space="preserve">Là il faut bien séparer deux choses. La responsabilité pénale, c’est quand on a commis une infraction prévue par la loi : la sanction, c’est une amende ou de la prison. La responsabilité civile, elle, sert juste à réparer : verser de l’argent à la victime pour compenser son préjudice. Pour les pizzas Buitoni. Au pénal, l’entreprise peut être condamnée pour tout ce qu’on a listé. Même en tant que société, une personne morale répond pénalement de ses actes (article 121-2 du Code pénal), et le dirigeant peut aussi être poursuivi. Au civil, elle doit indemniser les familles. Comme il n’y a aucun contrat entre Nestlé et elles, on est sur de la responsabilité délictuelle. C’est tout le sens de l’assignation à Nanterre : 250 millions d’euros réclamés. Pour la pollution de l’Aisne, même logique à deux étages. Au pénal, le déversement est une infraction au Code de l’environnement (article L. 432-2), qui prévoit jusqu’à 2 ans de prison et 18 000 euros d’amende. Au civil, Nestlé doit réparer : indemniser la Fédération de pêche et les assos, et réparer le préjudice écologique.</w:t>
      </w:r>
    </w:p>
    <w:p>
      <w:pPr>
        <w:spacing w:after="100" w:before="260"/>
      </w:pPr>
      <w:r>
        <w:rPr>
          <w:b/>
          <w:bCs/>
          <w:sz w:val="24"/>
          <w:szCs w:val="24"/>
        </w:rPr>
        <w:t xml:space="preserve">3. Montrez que les entreprises du secteur alimentaire ont des obligations en matière de sécurité des consommateurs.</w:t>
      </w:r>
    </w:p>
    <w:p>
      <w:pPr>
        <w:spacing w:after="160" w:line="276"/>
        <w:jc w:val="both"/>
      </w:pPr>
      <w:r>
        <w:rPr>
          <w:sz w:val="24"/>
          <w:szCs w:val="24"/>
        </w:rPr>
        <w:t xml:space="preserve">Oui, et c’est même très encadré. Première obligation : l’autocontrôle. D’après l’annexe 2, une entreprise agroalimentaire vérifie régulièrement son matériel, ses matières premières et ses produits finis, histoire de repérer une contamination avant qu’elle parte en rayon. Si un problème est détecté, il faut réagir tout de suite : rappeler les produits et prévenir l’administration, les distributeurs et les clients. C’est exactement le réflexe qu’a eu Buitoni. Et puis il y a l’obligation de sécurité, plus générale : on ne vend que des produits sains, non toxiques, bons à consommer. Quand ce n’est pas respecté, la société et son chef d’entreprise peuvent être poursuivis. L’annexe 2 le montre avec les steaks hachés à l’E. coli vendus chez Lidl en 2003 : le responsable qualité du fabricant et le gérant ont fini devant la justice.</w:t>
      </w:r>
    </w:p>
    <w:sectPr>
      <w:pgSz w:w="11906" w:h="16838" w:orient="portrait"/>
      <w:pgMar w:top="1418" w:right="1418" w:bottom="1418"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999999" w:sz="6" w:space="4"/>
      </w:pBdr>
      <w:spacing w:after="160" w:before="320"/>
      <w:outlineLvl w:val="0"/>
    </w:pPr>
    <w:rPr>
      <w:rFonts w:ascii="Arial" w:cs="Arial" w:eastAsia="Arial" w:hAnsi="Arial"/>
      <w:b/>
      <w:bCs/>
      <w:color w:val="1A1A1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2026-09-15T21:33:13.906Z</dcterms:created>
  <dcterms:modified xsi:type="dcterms:W3CDTF">2026-09-15T21:33:13.906Z</dcterms:modified>
</cp:coreProperties>
</file>

<file path=docProps/custom.xml><?xml version="1.0" encoding="utf-8"?>
<Properties xmlns="http://schemas.openxmlformats.org/officeDocument/2006/custom-properties" xmlns:vt="http://schemas.openxmlformats.org/officeDocument/2006/docPropsVTypes"/>
</file>