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#5: Avalanche burial</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"Avalanche burial"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Sudden deceleration + barometric pressure increase + GPS signal loss + gyro orientation change indicating burial</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100Hz in continuous mode. Rapid deceleration spike (negative accel) &gt;2g for &gt;1s</w:t>
      </w:r>
    </w:p>
    <w:p>
      <w:pPr>
        <w:pStyle w:val="ListParagraph"/>
        <w:numPr>
          <w:ilvl w:val="0"/>
          <w:numId w:val="2"/>
        </w:numPr>
        <w:spacing w:after="40"/>
      </w:pPr>
      <w:r>
        <w:rPr>
          <w:rFonts w:ascii="Arial" w:cs="Arial" w:eastAsia="Arial" w:hAnsi="Arial"/>
          <w:sz w:val="20"/>
          <w:szCs w:val="20"/>
        </w:rPr>
        <w:t xml:space="preserve">barometer: Polled at 1Hz in continuous mode. Pressure increase &gt;10hPa in &lt;30s indicates burial depth</w:t>
      </w:r>
    </w:p>
    <w:p>
      <w:pPr>
        <w:pStyle w:val="ListParagraph"/>
        <w:numPr>
          <w:ilvl w:val="0"/>
          <w:numId w:val="2"/>
        </w:numPr>
        <w:spacing w:after="40"/>
      </w:pPr>
      <w:r>
        <w:rPr>
          <w:rFonts w:ascii="Arial" w:cs="Arial" w:eastAsia="Arial" w:hAnsi="Arial"/>
          <w:sz w:val="20"/>
          <w:szCs w:val="20"/>
        </w:rPr>
        <w:t xml:space="preserve">gyroscope: Polled at 100Hz in continuous mode. Orientation change &gt;45° indicates tumbling/burial</w:t>
      </w:r>
    </w:p>
    <w:p>
      <w:pPr>
        <w:pStyle w:val="ListParagraph"/>
        <w:numPr>
          <w:ilvl w:val="0"/>
          <w:numId w:val="2"/>
        </w:numPr>
        <w:spacing w:after="40"/>
      </w:pPr>
      <w:r>
        <w:rPr>
          <w:rFonts w:ascii="Arial" w:cs="Arial" w:eastAsia="Arial" w:hAnsi="Arial"/>
          <w:sz w:val="20"/>
          <w:szCs w:val="20"/>
        </w:rPr>
        <w:t xml:space="preserve">gps: Polled at 1Hz in continuous mode. Signal loss or horizontal freeze for &gt;5s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 + beacon</w:t>
      </w:r>
    </w:p>
    <w:p>
      <w:pPr>
        <w:spacing w:after="80"/>
      </w:pPr>
      <w:r>
        <w:rPr>
          <w:rFonts w:ascii="Arial" w:cs="Arial" w:eastAsia="Arial" w:hAnsi="Arial"/>
          <w:sz w:val="20"/>
          <w:szCs w:val="20"/>
        </w:rPr>
        <w:t xml:space="preserve">Information shared: AVALANCHE BURIAL at [location] [elevation]. Estimated burial depth [depth]m. User beacon activated. Dispatch SAR immediately.</w:t>
      </w:r>
    </w:p>
    <w:p>
      <w:pPr>
        <w:spacing w:after="80"/>
      </w:pPr>
      <w:r>
        <w:rPr>
          <w:rFonts w:ascii="Arial" w:cs="Arial" w:eastAsia="Arial" w:hAnsi="Arial"/>
          <w:sz w:val="20"/>
          <w:szCs w:val="20"/>
        </w:rPr>
        <w:t xml:space="preserve">Timing: &lt; 1s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Avalanche detected at [location] [elevation]. Avoid area. Rescue operations likely.</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w:t>
      </w:r>
    </w:p>
    <w:p>
      <w:pPr>
        <w:spacing w:after="80"/>
      </w:pPr>
      <w:r>
        <w:rPr>
          <w:rFonts w:ascii="Arial" w:cs="Arial" w:eastAsia="Arial" w:hAnsi="Arial"/>
          <w:sz w:val="20"/>
          <w:szCs w:val="20"/>
        </w:rPr>
        <w:t xml:space="preserve">Information shared: CRITICAL: Avalanche burial ID [id] - Pressure increase [hpa]hPa, orientation change [deg]°, burial depth ~[depth]m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Avalanche path data sourced from public USGS/forest service data</w:t>
      </w:r>
    </w:p>
    <w:p>
      <w:pPr>
        <w:pStyle w:val="ListParagraph"/>
        <w:numPr>
          <w:ilvl w:val="0"/>
          <w:numId w:val="2"/>
        </w:numPr>
        <w:spacing w:after="40"/>
      </w:pPr>
      <w:r>
        <w:rPr>
          <w:rFonts w:ascii="Arial" w:cs="Arial" w:eastAsia="Arial" w:hAnsi="Arial"/>
          <w:sz w:val="20"/>
          <w:szCs w:val="20"/>
        </w:rPr>
        <w:t xml:space="preserve">Burial depth calculation performed on-device only</w:t>
      </w:r>
    </w:p>
    <w:p>
      <w:pPr>
        <w:pStyle w:val="ListParagraph"/>
        <w:numPr>
          <w:ilvl w:val="0"/>
          <w:numId w:val="2"/>
        </w:numPr>
        <w:spacing w:after="40"/>
      </w:pPr>
      <w:r>
        <w:rPr>
          <w:rFonts w:ascii="Arial" w:cs="Arial" w:eastAsia="Arial" w:hAnsi="Arial"/>
          <w:sz w:val="20"/>
          <w:szCs w:val="20"/>
        </w:rPr>
        <w:t xml:space="preserve">Pressure readings not stored independently (only depth metric)</w:t>
      </w:r>
    </w:p>
    <w:p>
      <w:pPr>
        <w:pStyle w:val="ListParagraph"/>
        <w:numPr>
          <w:ilvl w:val="0"/>
          <w:numId w:val="2"/>
        </w:numPr>
        <w:spacing w:after="40"/>
      </w:pPr>
      <w:r>
        <w:rPr>
          <w:rFonts w:ascii="Arial" w:cs="Arial" w:eastAsia="Arial" w:hAnsi="Arial"/>
          <w:sz w:val="20"/>
          <w:szCs w:val="20"/>
        </w:rPr>
        <w:t xml:space="preserve">GPS signal loss confirmation requires &lt;10m movement window</w:t>
      </w:r>
    </w:p>
    <w:p>
      <w:pPr>
        <w:pStyle w:val="ListParagraph"/>
        <w:numPr>
          <w:ilvl w:val="0"/>
          <w:numId w:val="2"/>
        </w:numPr>
        <w:spacing w:after="40"/>
      </w:pPr>
      <w:r>
        <w:rPr>
          <w:rFonts w:ascii="Arial" w:cs="Arial" w:eastAsia="Arial" w:hAnsi="Arial"/>
          <w:sz w:val="20"/>
          <w:szCs w:val="20"/>
        </w:rPr>
        <w:t xml:space="preserve">Beacon transmission encrypted end-to-end to SAR dispatch</w:t>
      </w:r>
    </w:p>
    <w:p>
      <w:pPr>
        <w:pStyle w:val="ListParagraph"/>
        <w:numPr>
          <w:ilvl w:val="0"/>
          <w:numId w:val="2"/>
        </w:numPr>
        <w:spacing w:after="40"/>
      </w:pPr>
      <w:r>
        <w:rPr>
          <w:rFonts w:ascii="Arial" w:cs="Arial" w:eastAsia="Arial" w:hAnsi="Arial"/>
          <w:sz w:val="20"/>
          <w:szCs w:val="20"/>
        </w:rPr>
        <w:t xml:space="preserve">Gyro orientation data deleted after event detection</w:t>
      </w:r>
    </w:p>
    <w:p>
      <w:pPr>
        <w:pStyle w:val="ListParagraph"/>
        <w:numPr>
          <w:ilvl w:val="0"/>
          <w:numId w:val="2"/>
        </w:numPr>
        <w:spacing w:after="40"/>
      </w:pPr>
      <w:r>
        <w:rPr>
          <w:rFonts w:ascii="Arial" w:cs="Arial" w:eastAsia="Arial" w:hAnsi="Arial"/>
          <w:sz w:val="20"/>
          <w:szCs w:val="20"/>
        </w:rPr>
        <w:t xml:space="preserve">User can manually cancel burial alert if conscious/able</w:t>
      </w:r>
    </w:p>
    <w:p>
      <w:pPr>
        <w:pStyle w:val="ListParagraph"/>
        <w:numPr>
          <w:ilvl w:val="0"/>
          <w:numId w:val="2"/>
        </w:numPr>
        <w:spacing w:after="40"/>
      </w:pPr>
      <w:r>
        <w:rPr>
          <w:rFonts w:ascii="Arial" w:cs="Arial" w:eastAsia="Arial" w:hAnsi="Arial"/>
          <w:sz w:val="20"/>
          <w:szCs w:val="20"/>
        </w:rPr>
        <w:t xml:space="preserve">Avalanche event history accessible only to user and SAR</w:t>
      </w:r>
    </w:p>
    <w:p>
      <w:pPr>
        <w:pStyle w:val="ListParagraph"/>
        <w:numPr>
          <w:ilvl w:val="0"/>
          <w:numId w:val="2"/>
        </w:numPr>
        <w:spacing w:after="40"/>
      </w:pPr>
      <w:r>
        <w:rPr>
          <w:rFonts w:ascii="Arial" w:cs="Arial" w:eastAsia="Arial" w:hAnsi="Arial"/>
          <w:sz w:val="20"/>
          <w:szCs w:val="20"/>
        </w:rPr>
        <w:t xml:space="preserve">Anonymized avalanche event statistics (no location linking to user identity)</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avalanche_burial_events table with user_id partition</w:t>
      </w:r>
    </w:p>
    <w:p>
      <w:pPr>
        <w:spacing w:after="80"/>
      </w:pPr>
      <w:r>
        <w:rPr>
          <w:rFonts w:ascii="Arial" w:cs="Arial" w:eastAsia="Arial" w:hAnsi="Arial"/>
          <w:sz w:val="20"/>
          <w:szCs w:val="20"/>
        </w:rPr>
        <w:t xml:space="preserve">Retention policy: Event records 180 days; sensor traces deleted immediately; beacon pings 7 days</w:t>
      </w:r>
    </w:p>
    <w:p>
      <w:pPr>
        <w:spacing w:after="80"/>
      </w:pPr>
      <w:r>
        <w:rPr>
          <w:rFonts w:ascii="Arial" w:cs="Arial" w:eastAsia="Arial" w:hAnsi="Arial"/>
          <w:sz w:val="20"/>
          <w:szCs w:val="20"/>
        </w:rPr>
        <w:t xml:space="preserve">Archival: Anonymized avalanche incident statistics for 1 year for SAR analysis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Continuous high-frequency sensor sampling in background mode drains battery</w:t>
      </w:r>
    </w:p>
    <w:p>
      <w:pPr>
        <w:pStyle w:val="ListParagraph"/>
        <w:numPr>
          <w:ilvl w:val="0"/>
          <w:numId w:val="2"/>
        </w:numPr>
        <w:spacing w:after="40"/>
      </w:pPr>
      <w:r>
        <w:rPr>
          <w:rFonts w:ascii="Arial" w:cs="Arial" w:eastAsia="Arial" w:hAnsi="Arial"/>
          <w:sz w:val="20"/>
          <w:szCs w:val="20"/>
        </w:rPr>
        <w:t xml:space="preserve">Burial depth estimation accuracy unknown (experimental physics)</w:t>
      </w:r>
    </w:p>
    <w:p>
      <w:pPr>
        <w:pStyle w:val="ListParagraph"/>
        <w:numPr>
          <w:ilvl w:val="0"/>
          <w:numId w:val="2"/>
        </w:numPr>
        <w:spacing w:after="40"/>
      </w:pPr>
      <w:r>
        <w:rPr>
          <w:rFonts w:ascii="Arial" w:cs="Arial" w:eastAsia="Arial" w:hAnsi="Arial"/>
          <w:sz w:val="20"/>
          <w:szCs w:val="20"/>
        </w:rPr>
        <w:t xml:space="preserve">False positives in steep terrain (e.g., ski jumping) triggering SAR dispatch</w:t>
      </w:r>
    </w:p>
    <w:p>
      <w:pPr>
        <w:pStyle w:val="ListParagraph"/>
        <w:numPr>
          <w:ilvl w:val="0"/>
          <w:numId w:val="2"/>
        </w:numPr>
        <w:spacing w:after="40"/>
      </w:pPr>
      <w:r>
        <w:rPr>
          <w:rFonts w:ascii="Arial" w:cs="Arial" w:eastAsia="Arial" w:hAnsi="Arial"/>
          <w:sz w:val="20"/>
          <w:szCs w:val="20"/>
        </w:rPr>
        <w:t xml:space="preserve">Liability if buried person not detected due to sensor failure</w:t>
      </w:r>
    </w:p>
    <w:p>
      <w:pPr>
        <w:pStyle w:val="ListParagraph"/>
        <w:numPr>
          <w:ilvl w:val="0"/>
          <w:numId w:val="2"/>
        </w:numPr>
        <w:spacing w:after="40"/>
      </w:pPr>
      <w:r>
        <w:rPr>
          <w:rFonts w:ascii="Arial" w:cs="Arial" w:eastAsia="Arial" w:hAnsi="Arial"/>
          <w:sz w:val="20"/>
          <w:szCs w:val="20"/>
        </w:rPr>
        <w:t xml:space="preserve">Privacy: sharing avalanche path locations (sensitive wilderness data)</w:t>
      </w:r>
    </w:p>
    <w:p>
      <w:pPr>
        <w:pStyle w:val="ListParagraph"/>
        <w:numPr>
          <w:ilvl w:val="0"/>
          <w:numId w:val="2"/>
        </w:numPr>
        <w:spacing w:after="40"/>
      </w:pPr>
      <w:r>
        <w:rPr>
          <w:rFonts w:ascii="Arial" w:cs="Arial" w:eastAsia="Arial" w:hAnsi="Arial"/>
          <w:sz w:val="20"/>
          <w:szCs w:val="20"/>
        </w:rPr>
        <w:t xml:space="preserve">GPS signal loss may not indicate burial (signal blockage from terrain)</w:t>
      </w:r>
    </w:p>
    <w:p>
      <w:pPr>
        <w:pStyle w:val="ListParagraph"/>
        <w:numPr>
          <w:ilvl w:val="0"/>
          <w:numId w:val="2"/>
        </w:numPr>
        <w:spacing w:after="40"/>
      </w:pPr>
      <w:r>
        <w:rPr>
          <w:rFonts w:ascii="Arial" w:cs="Arial" w:eastAsia="Arial" w:hAnsi="Arial"/>
          <w:sz w:val="20"/>
          <w:szCs w:val="20"/>
        </w:rPr>
        <w:t xml:space="preserve">Pressure sensor calibration in extreme cold/altitude</w:t>
      </w:r>
    </w:p>
    <w:p>
      <w:pPr>
        <w:pStyle w:val="ListParagraph"/>
        <w:numPr>
          <w:ilvl w:val="0"/>
          <w:numId w:val="2"/>
        </w:numPr>
        <w:spacing w:after="40"/>
      </w:pPr>
      <w:r>
        <w:rPr>
          <w:rFonts w:ascii="Arial" w:cs="Arial" w:eastAsia="Arial" w:hAnsi="Arial"/>
          <w:sz w:val="20"/>
          <w:szCs w:val="20"/>
        </w:rPr>
        <w:t xml:space="preserve">Liability for non-detection if user outside known avalanche paths</w:t>
      </w:r>
    </w:p>
    <w:p>
      <w:pPr>
        <w:pStyle w:val="ListParagraph"/>
        <w:numPr>
          <w:ilvl w:val="0"/>
          <w:numId w:val="2"/>
        </w:numPr>
        <w:spacing w:after="40"/>
      </w:pPr>
      <w:r>
        <w:rPr>
          <w:rFonts w:ascii="Arial" w:cs="Arial" w:eastAsia="Arial" w:hAnsi="Arial"/>
          <w:sz w:val="20"/>
          <w:szCs w:val="20"/>
        </w:rPr>
        <w:t xml:space="preserve">International/cross-border rescue coordination complexity</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Accelerometer 100Hz, barometer 1Hz, GPS 1Hz, gyro 100Hz; limited alpine sensor coverage</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100Hz, barometer 1Hz, GPS 1Hz, gyro 100Hz; limited alpine coverage</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"Avalanche Burial Detection: Monitors for sudden deceleration, pressure increase, orientation change, and GPS signal loss consistent with snow burial in avalanche terrain."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Avalanche burial (Trigger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2026-02-23T02:58:52.309Z</dcterms:created>
  <dcterms:modified xsi:type="dcterms:W3CDTF">2026-02-23T02:58:52.309Z</dcterms:modified>
</cp:coreProperties>
</file>

<file path=docProps/custom.xml><?xml version="1.0" encoding="utf-8"?>
<Properties xmlns="http://schemas.openxmlformats.org/officeDocument/2006/custom-properties" xmlns:vt="http://schemas.openxmlformats.org/officeDocument/2006/docPropsVTypes"/>
</file>