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#14: Earthquake Intensity Mapping</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"Earthquake Intensity Mapping"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Record peak ground acceleration per device during confirmed earthquake event; feed data to USGS ShakeMap for intensity contours</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high_precision mode. Peak ground acceleration sampling during earthquake</w:t>
      </w:r>
    </w:p>
    <w:p>
      <w:pPr>
        <w:pStyle w:val="ListParagraph"/>
        <w:numPr>
          <w:ilvl w:val="0"/>
          <w:numId w:val="2"/>
        </w:numPr>
        <w:spacing w:after="40"/>
      </w:pPr>
      <w:r>
        <w:rPr>
          <w:rFonts w:ascii="Arial" w:cs="Arial" w:eastAsia="Arial" w:hAnsi="Arial"/>
          <w:sz w:val="20"/>
          <w:szCs w:val="20"/>
        </w:rPr>
        <w:t xml:space="preserve">confirmed_event: Polled at event_driven in triggered mode. Only active after earthquake_detection trigger confirms event</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Earthquake intensity map updating. Peak accel [X]g at [location]. Damage risk: [level]</w:t>
      </w:r>
    </w:p>
    <w:p>
      <w:pPr>
        <w:spacing w:after="80"/>
      </w:pPr>
      <w:r>
        <w:rPr>
          <w:rFonts w:ascii="Arial" w:cs="Arial" w:eastAsia="Arial" w:hAnsi="Arial"/>
          <w:sz w:val="20"/>
          <w:szCs w:val="20"/>
        </w:rPr>
        <w:t xml:space="preserve">Timing: 10s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ShakeMap contribution received from [N] devices. Updating intensity contours. USGS integration active.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Anonymize device identifiers in USGS submission; use hash(device_id) only</w:t>
      </w:r>
    </w:p>
    <w:p>
      <w:pPr>
        <w:pStyle w:val="ListParagraph"/>
        <w:numPr>
          <w:ilvl w:val="0"/>
          <w:numId w:val="2"/>
        </w:numPr>
        <w:spacing w:after="40"/>
      </w:pPr>
      <w:r>
        <w:rPr>
          <w:rFonts w:ascii="Arial" w:cs="Arial" w:eastAsia="Arial" w:hAnsi="Arial"/>
          <w:sz w:val="20"/>
          <w:szCs w:val="20"/>
        </w:rPr>
        <w:t xml:space="preserve">Do not submit device model/OS to USGS; only waveform + location + timestamps</w:t>
      </w:r>
    </w:p>
    <w:p>
      <w:pPr>
        <w:pStyle w:val="ListParagraph"/>
        <w:numPr>
          <w:ilvl w:val="0"/>
          <w:numId w:val="2"/>
        </w:numPr>
        <w:spacing w:after="40"/>
      </w:pPr>
      <w:r>
        <w:rPr>
          <w:rFonts w:ascii="Arial" w:cs="Arial" w:eastAsia="Arial" w:hAnsi="Arial"/>
          <w:sz w:val="20"/>
          <w:szCs w:val="20"/>
        </w:rPr>
        <w:t xml:space="preserve">User opt-in required for USGS integration; default to local recording only</w:t>
      </w:r>
    </w:p>
    <w:p>
      <w:pPr>
        <w:pStyle w:val="ListParagraph"/>
        <w:numPr>
          <w:ilvl w:val="0"/>
          <w:numId w:val="2"/>
        </w:numPr>
        <w:spacing w:after="40"/>
      </w:pPr>
      <w:r>
        <w:rPr>
          <w:rFonts w:ascii="Arial" w:cs="Arial" w:eastAsia="Arial" w:hAnsi="Arial"/>
          <w:sz w:val="20"/>
          <w:szCs w:val="20"/>
        </w:rPr>
        <w:t xml:space="preserve">Delete raw waveform data after 24 hours; retain only derived metrics (PGA, PGV, SA, MMI)</w:t>
      </w:r>
    </w:p>
    <w:p>
      <w:pPr>
        <w:pStyle w:val="ListParagraph"/>
        <w:numPr>
          <w:ilvl w:val="0"/>
          <w:numId w:val="2"/>
        </w:numPr>
        <w:spacing w:after="40"/>
      </w:pPr>
      <w:r>
        <w:rPr>
          <w:rFonts w:ascii="Arial" w:cs="Arial" w:eastAsia="Arial" w:hAnsi="Arial"/>
          <w:sz w:val="20"/>
          <w:szCs w:val="20"/>
        </w:rPr>
        <w:t xml:space="preserve">Redact specific device location from public ShakeMap if user requests; submit location as anonymized grid cell</w:t>
      </w:r>
    </w:p>
    <w:p>
      <w:pPr>
        <w:pStyle w:val="ListParagraph"/>
        <w:numPr>
          <w:ilvl w:val="0"/>
          <w:numId w:val="2"/>
        </w:numPr>
        <w:spacing w:after="40"/>
      </w:pPr>
      <w:r>
        <w:rPr>
          <w:rFonts w:ascii="Arial" w:cs="Arial" w:eastAsia="Arial" w:hAnsi="Arial"/>
          <w:sz w:val="20"/>
          <w:szCs w:val="20"/>
        </w:rPr>
        <w:t xml:space="preserve">Do not store USGS confirmation identifiers linked to user in local DB; use event_id only</w:t>
      </w:r>
    </w:p>
    <w:p>
      <w:pPr>
        <w:pStyle w:val="ListParagraph"/>
        <w:numPr>
          <w:ilvl w:val="0"/>
          <w:numId w:val="2"/>
        </w:numPr>
        <w:spacing w:after="40"/>
      </w:pPr>
      <w:r>
        <w:rPr>
          <w:rFonts w:ascii="Arial" w:cs="Arial" w:eastAsia="Arial" w:hAnsi="Arial"/>
          <w:sz w:val="20"/>
          <w:szCs w:val="20"/>
        </w:rPr>
        <w:t xml:space="preserve">Limit USGS data retention per user policy; request deletion from USGS if user opts out</w:t>
      </w:r>
    </w:p>
    <w:p>
      <w:pPr>
        <w:pStyle w:val="ListParagraph"/>
        <w:numPr>
          <w:ilvl w:val="0"/>
          <w:numId w:val="2"/>
        </w:numPr>
        <w:spacing w:after="40"/>
      </w:pPr>
      <w:r>
        <w:rPr>
          <w:rFonts w:ascii="Arial" w:cs="Arial" w:eastAsia="Arial" w:hAnsi="Arial"/>
          <w:sz w:val="20"/>
          <w:szCs w:val="20"/>
        </w:rPr>
        <w:t xml:space="preserve">Do not integrate with insurance or property assessment systems without explicit consent per trigger</w:t>
      </w:r>
    </w:p>
    <w:p>
      <w:pPr>
        <w:pStyle w:val="ListParagraph"/>
        <w:numPr>
          <w:ilvl w:val="0"/>
          <w:numId w:val="2"/>
        </w:numPr>
        <w:spacing w:after="40"/>
      </w:pPr>
      <w:r>
        <w:rPr>
          <w:rFonts w:ascii="Arial" w:cs="Arial" w:eastAsia="Arial" w:hAnsi="Arial"/>
          <w:sz w:val="20"/>
          <w:szCs w:val="20"/>
        </w:rPr>
        <w:t xml:space="preserve">Encrypt all waveform data in transit to USGS (TLS 1.3 minimum)</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intensity_reports (encrypted); accel_waveform_recording (encrypted, 24-hour retention)</w:t>
      </w:r>
    </w:p>
    <w:p>
      <w:pPr>
        <w:spacing w:after="80"/>
      </w:pPr>
      <w:r>
        <w:rPr>
          <w:rFonts w:ascii="Arial" w:cs="Arial" w:eastAsia="Arial" w:hAnsi="Arial"/>
          <w:sz w:val="20"/>
          <w:szCs w:val="20"/>
        </w:rPr>
        <w:t xml:space="preserve">Retention policy: Intensity metrics (PGA, PGV, SA, MMI) retained indefinitely; raw waveforms deleted after 24 hours; USGS confirmations retained 7 days</w:t>
      </w:r>
    </w:p>
    <w:p>
      <w:pPr>
        <w:spacing w:after="80"/>
      </w:pPr>
      <w:r>
        <w:rPr>
          <w:rFonts w:ascii="Arial" w:cs="Arial" w:eastAsia="Arial" w:hAnsi="Arial"/>
          <w:sz w:val="20"/>
          <w:szCs w:val="20"/>
        </w:rPr>
        <w:t xml:space="preserve">Archival: Archive intensity metrics to USGS ShakeMap catalog; delete device identifiers; retain anonymized location + waveform signature only</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USGS ShakeMap integration exposes user location to government seismic monitoring network</w:t>
      </w:r>
    </w:p>
    <w:p>
      <w:pPr>
        <w:pStyle w:val="ListParagraph"/>
        <w:numPr>
          <w:ilvl w:val="0"/>
          <w:numId w:val="2"/>
        </w:numPr>
        <w:spacing w:after="40"/>
      </w:pPr>
      <w:r>
        <w:rPr>
          <w:rFonts w:ascii="Arial" w:cs="Arial" w:eastAsia="Arial" w:hAnsi="Arial"/>
          <w:sz w:val="20"/>
          <w:szCs w:val="20"/>
        </w:rPr>
        <w:t xml:space="preserve">Intensity data can be used to estimate building structural damage; liability if underestimated</w:t>
      </w:r>
    </w:p>
    <w:p>
      <w:pPr>
        <w:pStyle w:val="ListParagraph"/>
        <w:numPr>
          <w:ilvl w:val="0"/>
          <w:numId w:val="2"/>
        </w:numPr>
        <w:spacing w:after="40"/>
      </w:pPr>
      <w:r>
        <w:rPr>
          <w:rFonts w:ascii="Arial" w:cs="Arial" w:eastAsia="Arial" w:hAnsi="Arial"/>
          <w:sz w:val="20"/>
          <w:szCs w:val="20"/>
        </w:rPr>
        <w:t xml:space="preserve">Waveform data stored long-term enables adversary to infer building materials/structure</w:t>
      </w:r>
    </w:p>
    <w:p>
      <w:pPr>
        <w:pStyle w:val="ListParagraph"/>
        <w:numPr>
          <w:ilvl w:val="0"/>
          <w:numId w:val="2"/>
        </w:numPr>
        <w:spacing w:after="40"/>
      </w:pPr>
      <w:r>
        <w:rPr>
          <w:rFonts w:ascii="Arial" w:cs="Arial" w:eastAsia="Arial" w:hAnsi="Arial"/>
          <w:sz w:val="20"/>
          <w:szCs w:val="20"/>
        </w:rPr>
        <w:t xml:space="preserve">Data integration with USGS creates permanent record linked to user location + timestamp</w:t>
      </w:r>
    </w:p>
    <w:p>
      <w:pPr>
        <w:pStyle w:val="ListParagraph"/>
        <w:numPr>
          <w:ilvl w:val="0"/>
          <w:numId w:val="2"/>
        </w:numPr>
        <w:spacing w:after="40"/>
      </w:pPr>
      <w:r>
        <w:rPr>
          <w:rFonts w:ascii="Arial" w:cs="Arial" w:eastAsia="Arial" w:hAnsi="Arial"/>
          <w:sz w:val="20"/>
          <w:szCs w:val="20"/>
        </w:rPr>
        <w:t xml:space="preserve">MMI estimation may be inaccurate; user relies on incorrect damage assessment</w:t>
      </w:r>
    </w:p>
    <w:p>
      <w:pPr>
        <w:pStyle w:val="ListParagraph"/>
        <w:numPr>
          <w:ilvl w:val="0"/>
          <w:numId w:val="2"/>
        </w:numPr>
        <w:spacing w:after="40"/>
      </w:pPr>
      <w:r>
        <w:rPr>
          <w:rFonts w:ascii="Arial" w:cs="Arial" w:eastAsia="Arial" w:hAnsi="Arial"/>
          <w:sz w:val="20"/>
          <w:szCs w:val="20"/>
        </w:rPr>
        <w:t xml:space="preserve">Public ShakeMap display may suppress property values in high-intensity zones</w:t>
      </w:r>
    </w:p>
    <w:p>
      <w:pPr>
        <w:pStyle w:val="ListParagraph"/>
        <w:numPr>
          <w:ilvl w:val="0"/>
          <w:numId w:val="2"/>
        </w:numPr>
        <w:spacing w:after="40"/>
      </w:pPr>
      <w:r>
        <w:rPr>
          <w:rFonts w:ascii="Arial" w:cs="Arial" w:eastAsia="Arial" w:hAnsi="Arial"/>
          <w:sz w:val="20"/>
          <w:szCs w:val="20"/>
        </w:rPr>
        <w:t xml:space="preserve">Insurance companies may access USGS data to deny claims in high-intensity areas</w:t>
      </w:r>
    </w:p>
    <w:p>
      <w:pPr>
        <w:pStyle w:val="ListParagraph"/>
        <w:numPr>
          <w:ilvl w:val="0"/>
          <w:numId w:val="2"/>
        </w:numPr>
        <w:spacing w:after="40"/>
      </w:pPr>
      <w:r>
        <w:rPr>
          <w:rFonts w:ascii="Arial" w:cs="Arial" w:eastAsia="Arial" w:hAnsi="Arial"/>
          <w:sz w:val="20"/>
          <w:szCs w:val="20"/>
        </w:rPr>
        <w:t xml:space="preserve">Liability if intensity map data is used for destructive geolocation targeting</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accel recording capability</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accel recording</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"Record earthquake intensity at device location; contribute to USGS ShakeMap"</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Earthquake Intensity Mapping (Trigger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2026-02-23T02:58:52.394Z</dcterms:created>
  <dcterms:modified xsi:type="dcterms:W3CDTF">2026-02-23T02:58:52.394Z</dcterms:modified>
</cp:coreProperties>
</file>

<file path=docProps/custom.xml><?xml version="1.0" encoding="utf-8"?>
<Properties xmlns="http://schemas.openxmlformats.org/officeDocument/2006/custom-properties" xmlns:vt="http://schemas.openxmlformats.org/officeDocument/2006/docPropsVTypes"/>
</file>