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800"/>
              <w:left w:type="dxa" w:w="600"/>
              <w:bottom w:type="dxa" w:w="800"/>
              <w:right w:type="dxa" w:w="600"/>
            </w:tcMar>
          </w:tcPr>
          <w:p>
            <w:pPr>
              <w:spacing w:before="0" w:after="120"/>
              <w:jc w:val="center"/>
            </w:pPr>
            <w:r>
              <w:rPr>
                <w:rFonts w:ascii="Arial" w:cs="Arial" w:eastAsia="Arial" w:hAnsi="Arial"/>
                <w:b/>
                <w:bCs/>
                <w:color w:val="FFFFFF"/>
                <w:sz w:val="72"/>
                <w:szCs w:val="72"/>
              </w:rPr>
              <w:t xml:space="preserve">BEACON</w:t>
            </w:r>
          </w:p>
          <w:p>
            <w:pPr>
              <w:spacing w:before="0" w:after="200"/>
              <w:jc w:val="center"/>
            </w:pPr>
            <w:r>
              <w:rPr>
                <w:rFonts w:ascii="Arial" w:cs="Arial" w:eastAsia="Arial" w:hAnsi="Arial"/>
                <w:color w:val="AADDDD"/>
                <w:sz w:val="28"/>
                <w:szCs w:val="28"/>
              </w:rPr>
              <w:t xml:space="preserve">Real-Time Multi-Hazard Intelligence Platform</w:t>
            </w:r>
          </w:p>
          <w:p>
            <w:pPr>
              <w:spacing w:before="200" w:after="60"/>
              <w:jc w:val="center"/>
            </w:pPr>
            <w:r>
              <w:rPr>
                <w:rFonts w:ascii="Arial" w:cs="Arial" w:eastAsia="Arial" w:hAnsi="Arial"/>
                <w:b/>
                <w:bCs/>
                <w:color w:val="FFFFFF"/>
                <w:sz w:val="26"/>
                <w:szCs w:val="26"/>
              </w:rPr>
              <w:t xml:space="preserve">Strategic Plan &amp; Roadmap to Acquisition</w:t>
            </w:r>
          </w:p>
          <w:p>
            <w:pPr>
              <w:spacing w:before="60" w:after="0"/>
              <w:jc w:val="center"/>
            </w:pPr>
            <w:r>
              <w:rPr>
                <w:rFonts w:ascii="Arial" w:cs="Arial" w:eastAsia="Arial" w:hAnsi="Arial"/>
                <w:color w:val="AAAAAA"/>
                <w:sz w:val="20"/>
                <w:szCs w:val="20"/>
              </w:rPr>
              <w:t xml:space="preserve">Mathison Technologies, Inc.  |  Women-Owned Small Business  |  Confidential  |  March 2026</w:t>
            </w:r>
          </w:p>
        </w:tc>
      </w:tr>
    </w:tbl>
    <w:p>
      <w:pPr>
        <w:spacing w:before="200" w:after="200"/>
      </w:pPr>
      <w:r>
        <w:t xml:space="preserve"/>
      </w:r>
    </w:p>
    <w:p>
      <w:pPr>
        <w:pStyle w:val="Heading1"/>
        <w:pBdr>
          <w:bottom w:val="single" w:color="0D7377" w:sz="8" w:space="4"/>
        </w:pBdr>
        <w:spacing w:before="400" w:after="160"/>
      </w:pPr>
      <w:r>
        <w:rPr>
          <w:rFonts w:ascii="Arial" w:cs="Arial" w:eastAsia="Arial" w:hAnsi="Arial"/>
          <w:b/>
          <w:bCs/>
          <w:color w:val="1B3A6B"/>
          <w:sz w:val="28"/>
          <w:szCs w:val="28"/>
        </w:rPr>
        <w:t xml:space="preserve">Executive Summary</w:t>
      </w:r>
    </w:p>
    <w:p>
      <w:pPr>
        <w:spacing w:before="60" w:after="100"/>
      </w:pPr>
      <w:r>
        <w:rPr>
          <w:rFonts w:ascii="Arial" w:cs="Arial" w:eastAsia="Arial" w:hAnsi="Arial"/>
          <w:color w:val="444444"/>
          <w:sz w:val="22"/>
          <w:szCs w:val="22"/>
        </w:rPr>
        <w:t xml:space="preserve">Beacon is a real-time multi-hazard intelligence platform built by Mathison Technologies, Inc., a registered Women-Owned Small Business. Beacon combines GPU-accelerated fire spread simulation, a proprietary AI-enriched base map with residential-resolution structure attributes, a distributed phone sensor network, and mesh networking that operates when cell infrastructure fails.</w:t>
      </w:r>
    </w:p>
    <w:p>
      <w:pP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4"/>
              <w:left w:val="thick" w:color="0D7377" w:sz="16"/>
              <w:bottom w:val="single" w:color="0D7377" w:sz="4"/>
              <w:right w:val="single" w:color="0D7377" w:sz="4"/>
            </w:tcBorders>
            <w:shd w:fill="E6F4F5" w:val="clear"/>
            <w:tcMar>
              <w:top w:type="dxa" w:w="120"/>
              <w:left w:type="dxa" w:w="200"/>
              <w:bottom w:type="dxa" w:w="120"/>
              <w:right w:type="dxa" w:w="200"/>
            </w:tcMar>
          </w:tcPr>
          <w:p>
            <w:pPr>
              <w:spacing w:before="0" w:after="0"/>
            </w:pPr>
            <w:r>
              <w:rPr>
                <w:rFonts w:ascii="Arial" w:cs="Arial" w:eastAsia="Arial" w:hAnsi="Arial"/>
                <w:i/>
                <w:iCs/>
                <w:color w:val="444444"/>
                <w:sz w:val="21"/>
                <w:szCs w:val="21"/>
              </w:rPr>
              <w:t xml:space="preserve">Primary goal: save lives. Business goal: build a platform valuable enough to acquire — then use the proceeds to continue the mission without financial pressure. These goals are not in conflict. The sequencing and architecture described in this document serve both simultaneously.</w:t>
            </w:r>
          </w:p>
        </w:tc>
      </w:tr>
    </w:tbl>
    <w:p>
      <w:pPr>
        <w:spacing w:before="200" w:after="200"/>
      </w:pPr>
      <w:r>
        <w:t xml:space="preserve"/>
      </w:r>
    </w:p>
    <w:p>
      <w:pPr>
        <w:spacing w:before="60" w:after="100"/>
      </w:pPr>
      <w:r>
        <w:rPr>
          <w:rFonts w:ascii="Arial" w:cs="Arial" w:eastAsia="Arial" w:hAnsi="Arial"/>
          <w:color w:val="444444"/>
          <w:sz w:val="22"/>
          <w:szCs w:val="22"/>
        </w:rPr>
        <w:t xml:space="preserve">The platform is designed for acquisition within 36 months. The target price range is $150M–$500M depending on contract pipeline, geographic coverage, and which acquirers are in the room. The exit does not end the mission — it funds it.</w:t>
      </w:r>
    </w:p>
    <w:p>
      <w:pPr>
        <w:spacing w:before="200" w:after="200"/>
      </w:pPr>
      <w:r>
        <w:t xml:space="preserve"/>
      </w:r>
    </w:p>
    <w:p>
      <w:pPr>
        <w:pStyle w:val="Heading1"/>
        <w:pBdr>
          <w:bottom w:val="single" w:color="0D7377" w:sz="8" w:space="4"/>
        </w:pBdr>
        <w:spacing w:before="400" w:after="160"/>
      </w:pPr>
      <w:r>
        <w:rPr>
          <w:rFonts w:ascii="Arial" w:cs="Arial" w:eastAsia="Arial" w:hAnsi="Arial"/>
          <w:b/>
          <w:bCs/>
          <w:color w:val="1B3A6B"/>
          <w:sz w:val="28"/>
          <w:szCs w:val="28"/>
        </w:rPr>
        <w:t xml:space="preserve">The Mission &amp; The Business Model</w:t>
      </w:r>
    </w:p>
    <w:p>
      <w:pPr>
        <w:pStyle w:val="Heading2"/>
        <w:spacing w:before="280" w:after="120"/>
      </w:pPr>
      <w:r>
        <w:rPr>
          <w:rFonts w:ascii="Arial" w:cs="Arial" w:eastAsia="Arial" w:hAnsi="Arial"/>
          <w:b/>
          <w:bCs/>
          <w:color w:val="0D7377"/>
          <w:sz w:val="24"/>
          <w:szCs w:val="24"/>
        </w:rPr>
        <w:t xml:space="preserve">Why These Are Not in Conflict</w:t>
      </w:r>
    </w:p>
    <w:p>
      <w:pPr>
        <w:spacing w:before="60" w:after="100"/>
      </w:pPr>
      <w:r>
        <w:rPr>
          <w:rFonts w:ascii="Arial" w:cs="Arial" w:eastAsia="Arial" w:hAnsi="Arial"/>
          <w:color w:val="444444"/>
          <w:sz w:val="22"/>
          <w:szCs w:val="22"/>
        </w:rPr>
        <w:t xml:space="preserve">Every dollar of revenue in this plan comes from government contracts, agency subscriptions, defense licensing, or reinsurance data products. None of it requires betraying the users who share their sensor data in exchange for safety.</w:t>
      </w:r>
    </w:p>
    <w:p>
      <w:pPr>
        <w:pStyle w:val="ListParagraph"/>
        <w:numPr>
          <w:ilvl w:val="0"/>
          <w:numId w:val="2"/>
        </w:numPr>
        <w:spacing w:before="40" w:after="40"/>
      </w:pPr>
      <w:r>
        <w:rPr>
          <w:rFonts w:ascii="Arial" w:cs="Arial" w:eastAsia="Arial" w:hAnsi="Arial"/>
          <w:color w:val="444444"/>
          <w:sz w:val="22"/>
          <w:szCs w:val="22"/>
        </w:rPr>
        <w:t xml:space="preserve">Government and agency contracts pay for platform access and situational awareness tools. No user data changes hands.</w:t>
      </w:r>
    </w:p>
    <w:p>
      <w:pPr>
        <w:pStyle w:val="ListParagraph"/>
        <w:numPr>
          <w:ilvl w:val="0"/>
          <w:numId w:val="2"/>
        </w:numPr>
        <w:spacing w:before="40" w:after="40"/>
      </w:pPr>
      <w:r>
        <w:rPr>
          <w:rFonts w:ascii="Arial" w:cs="Arial" w:eastAsia="Arial" w:hAnsi="Arial"/>
          <w:color w:val="444444"/>
          <w:sz w:val="22"/>
          <w:szCs w:val="22"/>
        </w:rPr>
        <w:t xml:space="preserve">Defense and robotics model licensing provides trained AI models. The training data stays with Beacon. No user data is in the licensed artifact.</w:t>
      </w:r>
    </w:p>
    <w:p>
      <w:pPr>
        <w:pStyle w:val="ListParagraph"/>
        <w:numPr>
          <w:ilvl w:val="0"/>
          <w:numId w:val="2"/>
        </w:numPr>
        <w:spacing w:before="40" w:after="40"/>
      </w:pPr>
      <w:r>
        <w:rPr>
          <w:rFonts w:ascii="Arial" w:cs="Arial" w:eastAsia="Arial" w:hAnsi="Arial"/>
          <w:color w:val="444444"/>
          <w:sz w:val="22"/>
          <w:szCs w:val="22"/>
        </w:rPr>
        <w:t xml:space="preserve">Reinsurance data licensing provides regional and neighborhood-level risk model outputs — aggregate predictions, not individual property surveillance.</w:t>
      </w:r>
    </w:p>
    <w:p>
      <w:pPr>
        <w:pStyle w:val="ListParagraph"/>
        <w:numPr>
          <w:ilvl w:val="0"/>
          <w:numId w:val="2"/>
        </w:numPr>
        <w:spacing w:before="40" w:after="40"/>
      </w:pPr>
      <w:r>
        <w:rPr>
          <w:rFonts w:ascii="Arial" w:cs="Arial" w:eastAsia="Arial" w:hAnsi="Arial"/>
          <w:color w:val="444444"/>
          <w:sz w:val="22"/>
          <w:szCs w:val="22"/>
        </w:rPr>
        <w:t xml:space="preserve">The consumer app remains free permanently. Safety is not a product for people who can afford it.</w:t>
      </w:r>
    </w:p>
    <w:p>
      <w:pP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4"/>
              <w:left w:val="thick" w:color="0D7377" w:sz="16"/>
              <w:bottom w:val="single" w:color="0D7377" w:sz="4"/>
              <w:right w:val="single" w:color="0D7377" w:sz="4"/>
            </w:tcBorders>
            <w:shd w:fill="E6F4F5" w:val="clear"/>
            <w:tcMar>
              <w:top w:type="dxa" w:w="120"/>
              <w:left w:type="dxa" w:w="200"/>
              <w:bottom w:type="dxa" w:w="120"/>
              <w:right w:type="dxa" w:w="200"/>
            </w:tcMar>
          </w:tcPr>
          <w:p>
            <w:pPr>
              <w:spacing w:before="0" w:after="0"/>
            </w:pPr>
            <w:r>
              <w:rPr>
                <w:rFonts w:ascii="Arial" w:cs="Arial" w:eastAsia="Arial" w:hAnsi="Arial"/>
                <w:i/>
                <w:iCs/>
                <w:color w:val="444444"/>
                <w:sz w:val="21"/>
                <w:szCs w:val="21"/>
              </w:rPr>
              <w:t xml:space="preserve">The user data deal, stated plainly: users give us passive sensor data. We give them real-time hazard modeling, evacuation routing, and offline operation when infrastructure fails — permanently free. We use anonymized, aggregated data to improve our models and license derived outputs. We never sell individual data, share anything that identifies a specific person or property with insurers or governments, or use data in ways that raise costs or expose users to harm. These terms survive acquisition and are binding on any buyer.</w:t>
            </w:r>
          </w:p>
        </w:tc>
      </w:tr>
    </w:tbl>
    <w:p>
      <w:pPr>
        <w:spacing w:before="200" w:after="200"/>
      </w:pPr>
      <w:r>
        <w:t xml:space="preserve"/>
      </w:r>
    </w:p>
    <w:p>
      <w:pPr>
        <w:pStyle w:val="Heading2"/>
        <w:spacing w:before="280" w:after="120"/>
      </w:pPr>
      <w:r>
        <w:rPr>
          <w:rFonts w:ascii="Arial" w:cs="Arial" w:eastAsia="Arial" w:hAnsi="Arial"/>
          <w:b/>
          <w:bCs/>
          <w:color w:val="0D7377"/>
          <w:sz w:val="24"/>
          <w:szCs w:val="24"/>
        </w:rPr>
        <w:t xml:space="preserve">The Trust Architecture</w:t>
      </w:r>
    </w:p>
    <w:p>
      <w:pPr>
        <w:spacing w:before="60" w:after="100"/>
      </w:pPr>
      <w:r>
        <w:rPr>
          <w:rFonts w:ascii="Arial" w:cs="Arial" w:eastAsia="Arial" w:hAnsi="Arial"/>
          <w:color w:val="444444"/>
          <w:sz w:val="22"/>
          <w:szCs w:val="22"/>
        </w:rPr>
        <w:t xml:space="preserve">User trust is not just an ethical commitment — it is the mechanism that makes the sensor network function, which makes every contract and data product valuable. Destroying the trust destroys the asset the acquirer paid for. The protections are structural, not merely policy:</w:t>
      </w:r>
    </w:p>
    <w:p>
      <w:pPr>
        <w:pStyle w:val="ListParagraph"/>
        <w:numPr>
          <w:ilvl w:val="0"/>
          <w:numId w:val="2"/>
        </w:numPr>
        <w:spacing w:before="40" w:after="40"/>
      </w:pPr>
      <w:r>
        <w:rPr>
          <w:rFonts w:ascii="Arial" w:cs="Arial" w:eastAsia="Arial" w:hAnsi="Arial"/>
          <w:color w:val="444444"/>
          <w:sz w:val="22"/>
          <w:szCs w:val="22"/>
        </w:rPr>
        <w:t xml:space="preserve">Data architecture is built so individual re-identification is technically impossible after processing, not just prohibited by policy.</w:t>
      </w:r>
    </w:p>
    <w:p>
      <w:pPr>
        <w:pStyle w:val="ListParagraph"/>
        <w:numPr>
          <w:ilvl w:val="0"/>
          <w:numId w:val="2"/>
        </w:numPr>
        <w:spacing w:before="40" w:after="40"/>
      </w:pPr>
      <w:r>
        <w:rPr>
          <w:rFonts w:ascii="Arial" w:cs="Arial" w:eastAsia="Arial" w:hAnsi="Arial"/>
          <w:color w:val="444444"/>
          <w:sz w:val="22"/>
          <w:szCs w:val="22"/>
        </w:rPr>
        <w:t xml:space="preserve">Model training uses anonymized aggregates. The pipeline cannot produce individual-level outputs even if compelled.</w:t>
      </w:r>
    </w:p>
    <w:p>
      <w:pPr>
        <w:pStyle w:val="ListParagraph"/>
        <w:numPr>
          <w:ilvl w:val="0"/>
          <w:numId w:val="2"/>
        </w:numPr>
        <w:spacing w:before="40" w:after="40"/>
      </w:pPr>
      <w:r>
        <w:rPr>
          <w:rFonts w:ascii="Arial" w:cs="Arial" w:eastAsia="Arial" w:hAnsi="Arial"/>
          <w:color w:val="444444"/>
          <w:sz w:val="22"/>
          <w:szCs w:val="22"/>
        </w:rPr>
        <w:t xml:space="preserve">Acquisition terms contractually bind the buyer to maintain these protections. This is negotiable before leverage exists — not after.</w:t>
      </w:r>
    </w:p>
    <w:p>
      <w:pPr>
        <w:spacing w:before="200" w:after="200"/>
      </w:pPr>
      <w:r>
        <w:t xml:space="preserve"/>
      </w:r>
    </w:p>
    <w:p>
      <w:pPr>
        <w:pStyle w:val="Heading1"/>
        <w:pBdr>
          <w:bottom w:val="single" w:color="0D7377" w:sz="8" w:space="4"/>
        </w:pBdr>
        <w:spacing w:before="400" w:after="160"/>
      </w:pPr>
      <w:r>
        <w:rPr>
          <w:rFonts w:ascii="Arial" w:cs="Arial" w:eastAsia="Arial" w:hAnsi="Arial"/>
          <w:b/>
          <w:bCs/>
          <w:color w:val="1B3A6B"/>
          <w:sz w:val="28"/>
          <w:szCs w:val="28"/>
        </w:rPr>
        <w:t xml:space="preserve">What Beacon Is Building</w:t>
      </w:r>
    </w:p>
    <w:p>
      <w:pPr>
        <w:pStyle w:val="Heading2"/>
        <w:spacing w:before="280" w:after="120"/>
      </w:pPr>
      <w:r>
        <w:rPr>
          <w:rFonts w:ascii="Arial" w:cs="Arial" w:eastAsia="Arial" w:hAnsi="Arial"/>
          <w:b/>
          <w:bCs/>
          <w:color w:val="0D7377"/>
          <w:sz w:val="24"/>
          <w:szCs w:val="24"/>
        </w:rPr>
        <w:t xml:space="preserve">The Core Platform</w:t>
      </w:r>
    </w:p>
    <w:p>
      <w:pPr>
        <w:spacing w:before="60" w:after="100"/>
      </w:pPr>
      <w:r>
        <w:rPr>
          <w:rFonts w:ascii="Arial" w:cs="Arial" w:eastAsia="Arial" w:hAnsi="Arial"/>
          <w:color w:val="444444"/>
          <w:sz w:val="22"/>
          <w:szCs w:val="22"/>
        </w:rPr>
        <w:t xml:space="preserve">Beacon is not a wildfire app. It is a multi-hazard physical world intelligence platform whose first module happens to address wildfire because that is where the technical stack is most defensible and the market validation path is clearest.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6F4F5" w:val="clear"/>
            <w:tcMar>
              <w:top w:type="dxa" w:w="80"/>
              <w:left w:type="dxa" w:w="120"/>
              <w:bottom w:type="dxa" w:w="80"/>
              <w:right w:type="dxa" w:w="120"/>
            </w:tcMar>
          </w:tcPr>
          <w:p>
            <w:pPr>
              <w:spacing w:before="0" w:after="0"/>
            </w:pPr>
            <w:r>
              <w:rPr>
                <w:rFonts w:ascii="Arial" w:cs="Arial" w:eastAsia="Arial" w:hAnsi="Arial"/>
                <w:b/>
                <w:bCs/>
                <w:color w:val="1B3A6B"/>
                <w:sz w:val="21"/>
                <w:szCs w:val="21"/>
              </w:rPr>
              <w:t xml:space="preserve">Hazard Module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1"/>
                <w:szCs w:val="21"/>
              </w:rPr>
              <w:t xml:space="preserve">Status &amp; 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B3A6B"/>
                <w:sz w:val="21"/>
                <w:szCs w:val="21"/>
              </w:rPr>
              <w:t xml:space="preserve">Wildfire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444444"/>
                <w:sz w:val="21"/>
                <w:szCs w:val="21"/>
              </w:rPr>
              <w:t xml:space="preserve">Phase 1 — Primary wedge. California WUI focus. Highest technical defensibility.</w:t>
            </w:r>
          </w:p>
        </w:tc>
      </w:tr>
      <w:tr>
        <w:tc>
          <w:tcPr>
            <w:tcW w:type="dxa" w:w="2800"/>
            <w:tcBorders>
              <w:top w:val="single" w:color="CCCCCC" w:sz="1"/>
              <w:left w:val="single" w:color="CCCCCC" w:sz="1"/>
              <w:bottom w:val="single" w:color="CCCCCC" w:sz="1"/>
              <w:right w:val="single" w:color="CCCCCC" w:sz="1"/>
            </w:tcBorders>
            <w:shd w:fill="E6F4F5" w:val="clear"/>
            <w:tcMar>
              <w:top w:type="dxa" w:w="80"/>
              <w:left w:type="dxa" w:w="120"/>
              <w:bottom w:type="dxa" w:w="80"/>
              <w:right w:type="dxa" w:w="120"/>
            </w:tcMar>
          </w:tcPr>
          <w:p>
            <w:pPr>
              <w:spacing w:before="0" w:after="0"/>
            </w:pPr>
            <w:r>
              <w:rPr>
                <w:rFonts w:ascii="Arial" w:cs="Arial" w:eastAsia="Arial" w:hAnsi="Arial"/>
                <w:b/>
                <w:bCs/>
                <w:color w:val="1B3A6B"/>
                <w:sz w:val="21"/>
                <w:szCs w:val="21"/>
              </w:rPr>
              <w:t xml:space="preserve">Flash Floods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1"/>
                <w:szCs w:val="21"/>
              </w:rPr>
              <w:t xml:space="preserve">Phase 1 — Immediate second module. Same sensor/terrain stack. Camp Mystic created urgency.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B3A6B"/>
                <w:sz w:val="21"/>
                <w:szCs w:val="21"/>
              </w:rPr>
              <w:t xml:space="preserve">Earthquake &amp; Tsunami</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444444"/>
                <w:sz w:val="21"/>
                <w:szCs w:val="21"/>
              </w:rPr>
              <w:t xml:space="preserve">Phase 2 — Japan entry point. Mesh fallback is the differentiator, not detection.</w:t>
            </w:r>
          </w:p>
        </w:tc>
      </w:tr>
      <w:tr>
        <w:tc>
          <w:tcPr>
            <w:tcW w:type="dxa" w:w="2800"/>
            <w:tcBorders>
              <w:top w:val="single" w:color="CCCCCC" w:sz="1"/>
              <w:left w:val="single" w:color="CCCCCC" w:sz="1"/>
              <w:bottom w:val="single" w:color="CCCCCC" w:sz="1"/>
              <w:right w:val="single" w:color="CCCCCC" w:sz="1"/>
            </w:tcBorders>
            <w:shd w:fill="E6F4F5" w:val="clear"/>
            <w:tcMar>
              <w:top w:type="dxa" w:w="80"/>
              <w:left w:type="dxa" w:w="120"/>
              <w:bottom w:type="dxa" w:w="80"/>
              <w:right w:type="dxa" w:w="120"/>
            </w:tcMar>
          </w:tcPr>
          <w:p>
            <w:pPr>
              <w:spacing w:before="0" w:after="0"/>
            </w:pPr>
            <w:r>
              <w:rPr>
                <w:rFonts w:ascii="Arial" w:cs="Arial" w:eastAsia="Arial" w:hAnsi="Arial"/>
                <w:b/>
                <w:bCs/>
                <w:color w:val="1B3A6B"/>
                <w:sz w:val="21"/>
                <w:szCs w:val="21"/>
              </w:rPr>
              <w:t xml:space="preserve">Hurricane &amp; Cyclone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1"/>
                <w:szCs w:val="21"/>
              </w:rPr>
              <w:t xml:space="preserve">Phase 2 — High global death toll. Routing problem is genuinely unsolved at residential scale.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B3A6B"/>
                <w:sz w:val="21"/>
                <w:szCs w:val="21"/>
              </w:rPr>
              <w:t xml:space="preserve">Tornado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444444"/>
                <w:sz w:val="21"/>
                <w:szCs w:val="21"/>
              </w:rPr>
              <w:t xml:space="preserve">Phase 3 — US-specific. Pressure network contributes to path tracking.</w:t>
            </w:r>
          </w:p>
        </w:tc>
      </w:tr>
      <w:tr>
        <w:tc>
          <w:tcPr>
            <w:tcW w:type="dxa" w:w="2800"/>
            <w:tcBorders>
              <w:top w:val="single" w:color="CCCCCC" w:sz="1"/>
              <w:left w:val="single" w:color="CCCCCC" w:sz="1"/>
              <w:bottom w:val="single" w:color="CCCCCC" w:sz="1"/>
              <w:right w:val="single" w:color="CCCCCC" w:sz="1"/>
            </w:tcBorders>
            <w:shd w:fill="E6F4F5" w:val="clear"/>
            <w:tcMar>
              <w:top w:type="dxa" w:w="80"/>
              <w:left w:type="dxa" w:w="120"/>
              <w:bottom w:type="dxa" w:w="80"/>
              <w:right w:type="dxa" w:w="120"/>
            </w:tcMar>
          </w:tcPr>
          <w:p>
            <w:pPr>
              <w:spacing w:before="0" w:after="0"/>
            </w:pPr>
            <w:r>
              <w:rPr>
                <w:rFonts w:ascii="Arial" w:cs="Arial" w:eastAsia="Arial" w:hAnsi="Arial"/>
                <w:b/>
                <w:bCs/>
                <w:color w:val="1B3A6B"/>
                <w:sz w:val="21"/>
                <w:szCs w:val="21"/>
              </w:rPr>
              <w:t xml:space="preserve">Volcanic / Landslide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1"/>
                <w:szCs w:val="21"/>
              </w:rPr>
              <w:t xml:space="preserve">Phase 3 — Natural addition once Japan market is established.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B3A6B"/>
                <w:sz w:val="21"/>
                <w:szCs w:val="21"/>
              </w:rPr>
              <w:t xml:space="preserve">Radiation / Explosion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444444"/>
                <w:sz w:val="21"/>
                <w:szCs w:val="21"/>
              </w:rPr>
              <w:t xml:space="preserve">Background capability — developed quietly, surfaced in defense acquisition conversations.</w:t>
            </w:r>
          </w:p>
        </w:tc>
      </w:tr>
    </w:tbl>
    <w:p>
      <w:pPr>
        <w:spacing w:before="200" w:after="200"/>
      </w:pPr>
      <w:r>
        <w:t xml:space="preserve"/>
      </w:r>
    </w:p>
    <w:p>
      <w:pPr>
        <w:pStyle w:val="Heading2"/>
        <w:spacing w:before="280" w:after="120"/>
      </w:pPr>
      <w:r>
        <w:rPr>
          <w:rFonts w:ascii="Arial" w:cs="Arial" w:eastAsia="Arial" w:hAnsi="Arial"/>
          <w:b/>
          <w:bCs/>
          <w:color w:val="0D7377"/>
          <w:sz w:val="24"/>
          <w:szCs w:val="24"/>
        </w:rPr>
        <w:t xml:space="preserve">The Technical Stack</w:t>
      </w:r>
    </w:p>
    <w:p>
      <w:pPr>
        <w:spacing w:before="200" w:after="80"/>
      </w:pPr>
      <w:r>
        <w:rPr>
          <w:rFonts w:ascii="Arial" w:cs="Arial" w:eastAsia="Arial" w:hAnsi="Arial"/>
          <w:b/>
          <w:bCs/>
          <w:color w:val="1B3A6B"/>
          <w:sz w:val="22"/>
          <w:szCs w:val="22"/>
        </w:rPr>
        <w:t xml:space="preserve">Simulation Engine</w:t>
      </w:r>
    </w:p>
    <w:p>
      <w:pPr>
        <w:pStyle w:val="ListParagraph"/>
        <w:numPr>
          <w:ilvl w:val="0"/>
          <w:numId w:val="2"/>
        </w:numPr>
        <w:spacing w:before="40" w:after="40"/>
      </w:pPr>
      <w:r>
        <w:rPr>
          <w:rFonts w:ascii="Arial" w:cs="Arial" w:eastAsia="Arial" w:hAnsi="Arial"/>
          <w:color w:val="444444"/>
          <w:sz w:val="22"/>
          <w:szCs w:val="22"/>
        </w:rPr>
        <w:t xml:space="preserve">PyTorchFire (server-side): Differentiable Cellular Automata fire simulator. Self-corrects against live sensor observations via gradient descent. GPU-accelerated, millisecond inference.</w:t>
      </w:r>
    </w:p>
    <w:p>
      <w:pPr>
        <w:pStyle w:val="ListParagraph"/>
        <w:numPr>
          <w:ilvl w:val="0"/>
          <w:numId w:val="2"/>
        </w:numPr>
        <w:spacing w:before="40" w:after="40"/>
      </w:pPr>
      <w:r>
        <w:rPr>
          <w:rFonts w:ascii="Arial" w:cs="Arial" w:eastAsia="Arial" w:hAnsi="Arial"/>
          <w:color w:val="444444"/>
          <w:sz w:val="22"/>
          <w:szCs w:val="22"/>
        </w:rPr>
        <w:t xml:space="preserve">NVIDIA PhysicsNeMo Surrogate (on-device): Runs on device CPU with no connectivity. Keeps fire display and routing live with no cell, no mesh, no connectivity. Pre-trained per region, fine-tuned on ignition within minutes of outbreak.</w:t>
      </w:r>
    </w:p>
    <w:p>
      <w:pPr>
        <w:pStyle w:val="ListParagraph"/>
        <w:numPr>
          <w:ilvl w:val="0"/>
          <w:numId w:val="2"/>
        </w:numPr>
        <w:spacing w:before="40" w:after="40"/>
      </w:pPr>
      <w:r>
        <w:rPr>
          <w:rFonts w:ascii="Arial" w:cs="Arial" w:eastAsia="Arial" w:hAnsi="Arial"/>
          <w:color w:val="444444"/>
          <w:sz w:val="22"/>
          <w:szCs w:val="22"/>
        </w:rPr>
        <w:t xml:space="preserve">Together these solve each other’s failure modes: PyTorchFire recalibrates server-side and pushes corrected weights; surrogate fills gaps and operates fully offline.</w:t>
      </w:r>
    </w:p>
    <w:p>
      <w:pPr>
        <w:spacing w:before="200" w:after="80"/>
      </w:pPr>
      <w:r>
        <w:rPr>
          <w:rFonts w:ascii="Arial" w:cs="Arial" w:eastAsia="Arial" w:hAnsi="Arial"/>
          <w:b/>
          <w:bCs/>
          <w:color w:val="1B3A6B"/>
          <w:sz w:val="22"/>
          <w:szCs w:val="22"/>
        </w:rPr>
        <w:t xml:space="preserve">Proprietary Base Map</w:t>
      </w:r>
    </w:p>
    <w:p>
      <w:pPr>
        <w:pStyle w:val="ListParagraph"/>
        <w:numPr>
          <w:ilvl w:val="0"/>
          <w:numId w:val="2"/>
        </w:numPr>
        <w:spacing w:before="40" w:after="40"/>
      </w:pPr>
      <w:r>
        <w:rPr>
          <w:rFonts w:ascii="Arial" w:cs="Arial" w:eastAsia="Arial" w:hAnsi="Arial"/>
          <w:color w:val="444444"/>
          <w:sz w:val="22"/>
          <w:szCs w:val="22"/>
        </w:rPr>
        <w:t xml:space="preserve">Per-structure residential attributes: ignitability score, roof material, wall/cladding, structure separation distances (8 compass points, 200ft radius), proximate vegetation, nearest wildland edge, flammable accumulation, building age, parcel data.</w:t>
      </w:r>
    </w:p>
    <w:p>
      <w:pPr>
        <w:pStyle w:val="ListParagraph"/>
        <w:numPr>
          <w:ilvl w:val="0"/>
          <w:numId w:val="2"/>
        </w:numPr>
        <w:spacing w:before="40" w:after="40"/>
      </w:pPr>
      <w:r>
        <w:rPr>
          <w:rFonts w:ascii="Arial" w:cs="Arial" w:eastAsia="Arial" w:hAnsi="Arial"/>
          <w:color w:val="444444"/>
          <w:sz w:val="22"/>
          <w:szCs w:val="22"/>
        </w:rPr>
        <w:t xml:space="preserve">CV-derived from street-level imagery, LiDAR, aerial multispectral, and assessor records.</w:t>
      </w:r>
    </w:p>
    <w:p>
      <w:pPr>
        <w:pStyle w:val="ListParagraph"/>
        <w:numPr>
          <w:ilvl w:val="0"/>
          <w:numId w:val="2"/>
        </w:numPr>
        <w:spacing w:before="40" w:after="40"/>
      </w:pPr>
      <w:r>
        <w:rPr>
          <w:rFonts w:ascii="Arial" w:cs="Arial" w:eastAsia="Arial" w:hAnsi="Arial"/>
          <w:color w:val="444444"/>
          <w:sz w:val="22"/>
          <w:szCs w:val="22"/>
        </w:rPr>
        <w:t xml:space="preserve">Ground-truth validated against actual fire events. Every fire season adds irreplaceable validation data no competitor can retroactively reconstruct.</w:t>
      </w:r>
    </w:p>
    <w:p>
      <w:pPr>
        <w:spacing w:before="200" w:after="80"/>
      </w:pPr>
      <w:r>
        <w:rPr>
          <w:rFonts w:ascii="Arial" w:cs="Arial" w:eastAsia="Arial" w:hAnsi="Arial"/>
          <w:b/>
          <w:bCs/>
          <w:color w:val="1B3A6B"/>
          <w:sz w:val="22"/>
          <w:szCs w:val="22"/>
        </w:rPr>
        <w:t xml:space="preserve">Human Sensor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6F4F5" w:val="clear"/>
            <w:tcMar>
              <w:top w:type="dxa" w:w="80"/>
              <w:left w:type="dxa" w:w="120"/>
              <w:bottom w:type="dxa" w:w="80"/>
              <w:right w:type="dxa" w:w="120"/>
            </w:tcMar>
          </w:tcPr>
          <w:p>
            <w:pPr>
              <w:spacing w:before="0" w:after="0"/>
            </w:pPr>
            <w:r>
              <w:rPr>
                <w:rFonts w:ascii="Arial" w:cs="Arial" w:eastAsia="Arial" w:hAnsi="Arial"/>
                <w:b/>
                <w:bCs/>
                <w:color w:val="1B3A6B"/>
                <w:sz w:val="21"/>
                <w:szCs w:val="21"/>
              </w:rPr>
              <w:t xml:space="preserve">Sensor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1"/>
                <w:szCs w:val="21"/>
              </w:rPr>
              <w:t xml:space="preserve">Application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B3A6B"/>
                <w:sz w:val="21"/>
                <w:szCs w:val="21"/>
              </w:rPr>
              <w:t xml:space="preserve">Barometer</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444444"/>
                <w:sz w:val="21"/>
                <w:szCs w:val="21"/>
              </w:rPr>
              <w:t xml:space="preserve">Wind shift detection (pressure propagates before fire front responds). 5–20 min lead time over RAWS.</w:t>
            </w:r>
          </w:p>
        </w:tc>
      </w:tr>
      <w:tr>
        <w:tc>
          <w:tcPr>
            <w:tcW w:type="dxa" w:w="2200"/>
            <w:tcBorders>
              <w:top w:val="single" w:color="CCCCCC" w:sz="1"/>
              <w:left w:val="single" w:color="CCCCCC" w:sz="1"/>
              <w:bottom w:val="single" w:color="CCCCCC" w:sz="1"/>
              <w:right w:val="single" w:color="CCCCCC" w:sz="1"/>
            </w:tcBorders>
            <w:shd w:fill="E6F4F5" w:val="clear"/>
            <w:tcMar>
              <w:top w:type="dxa" w:w="80"/>
              <w:left w:type="dxa" w:w="120"/>
              <w:bottom w:type="dxa" w:w="80"/>
              <w:right w:type="dxa" w:w="120"/>
            </w:tcMar>
          </w:tcPr>
          <w:p>
            <w:pPr>
              <w:spacing w:before="0" w:after="0"/>
            </w:pPr>
            <w:r>
              <w:rPr>
                <w:rFonts w:ascii="Arial" w:cs="Arial" w:eastAsia="Arial" w:hAnsi="Arial"/>
                <w:b/>
                <w:bCs/>
                <w:color w:val="1B3A6B"/>
                <w:sz w:val="21"/>
                <w:szCs w:val="21"/>
              </w:rPr>
              <w:t xml:space="preserve">Accelerometer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1"/>
                <w:szCs w:val="21"/>
              </w:rPr>
              <w:t xml:space="preserve">Earthquake detection, explosion ranging, seismic event classification.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B3A6B"/>
                <w:sz w:val="21"/>
                <w:szCs w:val="21"/>
              </w:rPr>
              <w:t xml:space="preserve">CMOS Camera</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444444"/>
                <w:sz w:val="21"/>
                <w:szCs w:val="21"/>
              </w:rPr>
              <w:t xml:space="preserve">Ionizing radiation detection (X-ray/gamma). Passive, no hardware modification.</w:t>
            </w:r>
          </w:p>
        </w:tc>
      </w:tr>
      <w:tr>
        <w:tc>
          <w:tcPr>
            <w:tcW w:type="dxa" w:w="2200"/>
            <w:tcBorders>
              <w:top w:val="single" w:color="CCCCCC" w:sz="1"/>
              <w:left w:val="single" w:color="CCCCCC" w:sz="1"/>
              <w:bottom w:val="single" w:color="CCCCCC" w:sz="1"/>
              <w:right w:val="single" w:color="CCCCCC" w:sz="1"/>
            </w:tcBorders>
            <w:shd w:fill="E6F4F5" w:val="clear"/>
            <w:tcMar>
              <w:top w:type="dxa" w:w="80"/>
              <w:left w:type="dxa" w:w="120"/>
              <w:bottom w:type="dxa" w:w="80"/>
              <w:right w:type="dxa" w:w="120"/>
            </w:tcMar>
          </w:tcPr>
          <w:p>
            <w:pPr>
              <w:spacing w:before="0" w:after="0"/>
            </w:pPr>
            <w:r>
              <w:rPr>
                <w:rFonts w:ascii="Arial" w:cs="Arial" w:eastAsia="Arial" w:hAnsi="Arial"/>
                <w:b/>
                <w:bCs/>
                <w:color w:val="1B3A6B"/>
                <w:sz w:val="21"/>
                <w:szCs w:val="21"/>
              </w:rPr>
              <w:t xml:space="preserve">GPS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1"/>
                <w:szCs w:val="21"/>
              </w:rPr>
              <w:t xml:space="preserve">Geospatial anchor, evacuation behavior, road blockage reporting.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B3A6B"/>
                <w:sz w:val="21"/>
                <w:szCs w:val="21"/>
              </w:rPr>
              <w:t xml:space="preserve">Magnetometer</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444444"/>
                <w:sz w:val="21"/>
                <w:szCs w:val="21"/>
              </w:rPr>
              <w:t xml:space="preserve">Wind direction proxy, anomaly detection.</w:t>
            </w:r>
          </w:p>
        </w:tc>
      </w:tr>
      <w:tr>
        <w:tc>
          <w:tcPr>
            <w:tcW w:type="dxa" w:w="2200"/>
            <w:tcBorders>
              <w:top w:val="single" w:color="CCCCCC" w:sz="1"/>
              <w:left w:val="single" w:color="CCCCCC" w:sz="1"/>
              <w:bottom w:val="single" w:color="CCCCCC" w:sz="1"/>
              <w:right w:val="single" w:color="CCCCCC" w:sz="1"/>
            </w:tcBorders>
            <w:shd w:fill="E6F4F5" w:val="clear"/>
            <w:tcMar>
              <w:top w:type="dxa" w:w="80"/>
              <w:left w:type="dxa" w:w="120"/>
              <w:bottom w:type="dxa" w:w="80"/>
              <w:right w:type="dxa" w:w="120"/>
            </w:tcMar>
          </w:tcPr>
          <w:p>
            <w:pPr>
              <w:spacing w:before="0" w:after="0"/>
            </w:pPr>
            <w:r>
              <w:rPr>
                <w:rFonts w:ascii="Arial" w:cs="Arial" w:eastAsia="Arial" w:hAnsi="Arial"/>
                <w:b/>
                <w:bCs/>
                <w:color w:val="1B3A6B"/>
                <w:sz w:val="21"/>
                <w:szCs w:val="21"/>
              </w:rPr>
              <w:t xml:space="preserve">Microphone (opt-in)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1"/>
                <w:szCs w:val="21"/>
              </w:rPr>
              <w:t xml:space="preserve">Explosion characterization, acoustic event detection.</w:t>
            </w:r>
          </w:p>
        </w:tc>
      </w:tr>
    </w:tbl>
    <w:p>
      <w:pPr>
        <w:spacing w:before="200" w:after="200"/>
      </w:pPr>
      <w:r>
        <w:t xml:space="preserve"/>
      </w:r>
    </w:p>
    <w:p>
      <w:pPr>
        <w:spacing w:before="200" w:after="80"/>
      </w:pPr>
      <w:r>
        <w:rPr>
          <w:rFonts w:ascii="Arial" w:cs="Arial" w:eastAsia="Arial" w:hAnsi="Arial"/>
          <w:b/>
          <w:bCs/>
          <w:color w:val="1B3A6B"/>
          <w:sz w:val="22"/>
          <w:szCs w:val="22"/>
        </w:rPr>
        <w:t xml:space="preserve">Mesh Networking</w:t>
      </w:r>
    </w:p>
    <w:p>
      <w:pPr>
        <w:pStyle w:val="ListParagraph"/>
        <w:numPr>
          <w:ilvl w:val="0"/>
          <w:numId w:val="2"/>
        </w:numPr>
        <w:spacing w:before="40" w:after="40"/>
      </w:pPr>
      <w:r>
        <w:rPr>
          <w:rFonts w:ascii="Arial" w:cs="Arial" w:eastAsia="Arial" w:hAnsi="Arial"/>
          <w:color w:val="444444"/>
          <w:sz w:val="22"/>
          <w:szCs w:val="22"/>
        </w:rPr>
        <w:t xml:space="preserve">Peer-to-peer Bluetooth when cell infrastructure fails or is overloaded.</w:t>
      </w:r>
    </w:p>
    <w:p>
      <w:pPr>
        <w:pStyle w:val="ListParagraph"/>
        <w:numPr>
          <w:ilvl w:val="0"/>
          <w:numId w:val="2"/>
        </w:numPr>
        <w:spacing w:before="40" w:after="40"/>
      </w:pPr>
      <w:r>
        <w:rPr>
          <w:rFonts w:ascii="Arial" w:cs="Arial" w:eastAsia="Arial" w:hAnsi="Arial"/>
          <w:color w:val="444444"/>
          <w:sz w:val="22"/>
          <w:szCs w:val="22"/>
        </w:rPr>
        <w:t xml:space="preserve">Local anomaly detection on-device from mesh neighbors — under 10 seconds from onset without server round-trip.</w:t>
      </w:r>
    </w:p>
    <w:p>
      <w:pPr>
        <w:pStyle w:val="ListParagraph"/>
        <w:numPr>
          <w:ilvl w:val="0"/>
          <w:numId w:val="2"/>
        </w:numPr>
        <w:spacing w:before="40" w:after="40"/>
      </w:pPr>
      <w:r>
        <w:rPr>
          <w:rFonts w:ascii="Arial" w:cs="Arial" w:eastAsia="Arial" w:hAnsi="Arial"/>
          <w:color w:val="444444"/>
          <w:sz w:val="22"/>
          <w:szCs w:val="22"/>
        </w:rPr>
        <w:t xml:space="preserve">Distributes tower load during mass evacuation. Keeps sensor collection, fire display, and routing active in infrastructure-degraded conditions where all existing tools fail.</w:t>
      </w:r>
    </w:p>
    <w:p>
      <w:pPr>
        <w:spacing w:before="200" w:after="200"/>
      </w:pPr>
      <w:r>
        <w:t xml:space="preserve"/>
      </w:r>
    </w:p>
    <w:p>
      <w:pPr>
        <w:pStyle w:val="Heading1"/>
        <w:pBdr>
          <w:bottom w:val="single" w:color="0D7377" w:sz="8" w:space="4"/>
        </w:pBdr>
        <w:spacing w:before="400" w:after="160"/>
      </w:pPr>
      <w:r>
        <w:rPr>
          <w:rFonts w:ascii="Arial" w:cs="Arial" w:eastAsia="Arial" w:hAnsi="Arial"/>
          <w:b/>
          <w:bCs/>
          <w:color w:val="1B3A6B"/>
          <w:sz w:val="28"/>
          <w:szCs w:val="28"/>
        </w:rPr>
        <w:t xml:space="preserve">Hazard Module Sequencing: The Honest Ranking</w:t>
      </w:r>
    </w:p>
    <w:p>
      <w:pPr>
        <w:spacing w:before="60" w:after="100"/>
      </w:pPr>
      <w:r>
        <w:rPr>
          <w:rFonts w:ascii="Arial" w:cs="Arial" w:eastAsia="Arial" w:hAnsi="Arial"/>
          <w:color w:val="444444"/>
          <w:sz w:val="22"/>
          <w:szCs w:val="22"/>
        </w:rPr>
        <w:t xml:space="preserve">The sequencing below is determined by four factors: death toll and population affected, sensor stack overlap with what is already being built, existence of a paying buyer with urgency, and whether the technical problem is meaningfully unsolved.</w:t>
      </w:r>
    </w:p>
    <w:p>
      <w:pPr>
        <w:pStyle w:val="Heading2"/>
        <w:spacing w:before="280" w:after="120"/>
      </w:pPr>
      <w:r>
        <w:rPr>
          <w:rFonts w:ascii="Arial" w:cs="Arial" w:eastAsia="Arial" w:hAnsi="Arial"/>
          <w:b/>
          <w:bCs/>
          <w:color w:val="0D7377"/>
          <w:sz w:val="24"/>
          <w:szCs w:val="24"/>
        </w:rPr>
        <w:t xml:space="preserve">Why Wildfire First</w:t>
      </w:r>
    </w:p>
    <w:p>
      <w:pPr>
        <w:spacing w:before="60" w:after="100"/>
      </w:pPr>
      <w:r>
        <w:rPr>
          <w:rFonts w:ascii="Arial" w:cs="Arial" w:eastAsia="Arial" w:hAnsi="Arial"/>
          <w:color w:val="444444"/>
          <w:sz w:val="22"/>
          <w:szCs w:val="22"/>
        </w:rPr>
        <w:t xml:space="preserve">Wildfire does not kill the most people globally. It is the right first module because:</w:t>
      </w:r>
    </w:p>
    <w:p>
      <w:pPr>
        <w:pStyle w:val="ListParagraph"/>
        <w:numPr>
          <w:ilvl w:val="0"/>
          <w:numId w:val="2"/>
        </w:numPr>
        <w:spacing w:before="40" w:after="40"/>
      </w:pPr>
      <w:r>
        <w:rPr>
          <w:rFonts w:ascii="Arial" w:cs="Arial" w:eastAsia="Arial" w:hAnsi="Arial"/>
          <w:color w:val="444444"/>
          <w:sz w:val="22"/>
          <w:szCs w:val="22"/>
        </w:rPr>
        <w:t xml:space="preserve">The technical problem is the most complex and therefore the most defensible once solved.</w:t>
      </w:r>
    </w:p>
    <w:p>
      <w:pPr>
        <w:pStyle w:val="ListParagraph"/>
        <w:numPr>
          <w:ilvl w:val="0"/>
          <w:numId w:val="2"/>
        </w:numPr>
        <w:spacing w:before="40" w:after="40"/>
      </w:pPr>
      <w:r>
        <w:rPr>
          <w:rFonts w:ascii="Arial" w:cs="Arial" w:eastAsia="Arial" w:hAnsi="Arial"/>
          <w:color w:val="444444"/>
          <w:sz w:val="22"/>
          <w:szCs w:val="22"/>
        </w:rPr>
        <w:t xml:space="preserve">The US insurance and government buyer market is the largest and most accessible for an early-stage company.</w:t>
      </w:r>
    </w:p>
    <w:p>
      <w:pPr>
        <w:pStyle w:val="ListParagraph"/>
        <w:numPr>
          <w:ilvl w:val="0"/>
          <w:numId w:val="2"/>
        </w:numPr>
        <w:spacing w:before="40" w:after="40"/>
      </w:pPr>
      <w:r>
        <w:rPr>
          <w:rFonts w:ascii="Arial" w:cs="Arial" w:eastAsia="Arial" w:hAnsi="Arial"/>
          <w:color w:val="444444"/>
          <w:sz w:val="22"/>
          <w:szCs w:val="22"/>
        </w:rPr>
        <w:t xml:space="preserve">Solving it proves the full stack — simulation engine, base map, sensor network, mesh fallback — in a real environment.</w:t>
      </w:r>
    </w:p>
    <w:p>
      <w:pPr>
        <w:pStyle w:val="ListParagraph"/>
        <w:numPr>
          <w:ilvl w:val="0"/>
          <w:numId w:val="2"/>
        </w:numPr>
        <w:spacing w:before="40" w:after="40"/>
      </w:pPr>
      <w:r>
        <w:rPr>
          <w:rFonts w:ascii="Arial" w:cs="Arial" w:eastAsia="Arial" w:hAnsi="Arial"/>
          <w:color w:val="444444"/>
          <w:sz w:val="22"/>
          <w:szCs w:val="22"/>
        </w:rPr>
        <w:t xml:space="preserve">The Lahaina and Camp Fire failures created political and institutional urgency that translates to procurement.</w:t>
      </w:r>
    </w:p>
    <w:p>
      <w:pPr>
        <w:pStyle w:val="Heading2"/>
        <w:spacing w:before="280" w:after="120"/>
      </w:pPr>
      <w:r>
        <w:rPr>
          <w:rFonts w:ascii="Arial" w:cs="Arial" w:eastAsia="Arial" w:hAnsi="Arial"/>
          <w:b/>
          <w:bCs/>
          <w:color w:val="0D7377"/>
          <w:sz w:val="24"/>
          <w:szCs w:val="24"/>
        </w:rPr>
        <w:t xml:space="preserve">Why Flash Floods Are Immediately Second</w:t>
      </w:r>
    </w:p>
    <w:p>
      <w:pPr>
        <w:spacing w:before="60" w:after="100"/>
      </w:pPr>
      <w:r>
        <w:rPr>
          <w:rFonts w:ascii="Arial" w:cs="Arial" w:eastAsia="Arial" w:hAnsi="Arial"/>
          <w:color w:val="444444"/>
          <w:sz w:val="22"/>
          <w:szCs w:val="22"/>
        </w:rPr>
        <w:t xml:space="preserve">Flash floods kill more Americans per year than any other single weather hazard including tornadoes and hurricanes. The 2025 Camp Mystic tragedy killed children in a summer camp that received no actionable warning. The technical gap is real, the political urgency is immediate, and the sensor and terrain stack is nearly identical to wildfire. The incremental engineering cost of the flood module is low. This is the clearest case in the entire portfolio where the most lucrative and most humanitarian choice are identical.</w:t>
      </w:r>
    </w:p>
    <w:p>
      <w:pPr>
        <w:pStyle w:val="Heading2"/>
        <w:spacing w:before="280" w:after="120"/>
      </w:pPr>
      <w:r>
        <w:rPr>
          <w:rFonts w:ascii="Arial" w:cs="Arial" w:eastAsia="Arial" w:hAnsi="Arial"/>
          <w:b/>
          <w:bCs/>
          <w:color w:val="0D7377"/>
          <w:sz w:val="24"/>
          <w:szCs w:val="24"/>
        </w:rPr>
        <w:t xml:space="preserve">Why Japan for Earthquake and Tsunami</w:t>
      </w:r>
    </w:p>
    <w:p>
      <w:pPr>
        <w:spacing w:before="60" w:after="100"/>
      </w:pPr>
      <w:r>
        <w:rPr>
          <w:rFonts w:ascii="Arial" w:cs="Arial" w:eastAsia="Arial" w:hAnsi="Arial"/>
          <w:color w:val="444444"/>
          <w:sz w:val="22"/>
          <w:szCs w:val="22"/>
        </w:rPr>
        <w:t xml:space="preserve">Japan has world-class seismic and tsunami detection infrastructure. What they have not solved is last-mile communication when that infrastructure fails — documented in 2011 and confirmed again in the 2024 Noto Peninsula earthquake. That is Beacon’s core value proposition applied to the world’s most sophisticated and willing-to-pay disaster management market. A Japanese government contract signals international defensibility to every other acquirer and opens the Asia-Pacific market.</w:t>
      </w:r>
    </w:p>
    <w:p>
      <w:pPr>
        <w:spacing w:before="200" w:after="200"/>
      </w:pPr>
      <w:r>
        <w:t xml:space="preserve"/>
      </w:r>
    </w:p>
    <w:p>
      <w:pPr>
        <w:pStyle w:val="Heading1"/>
        <w:pBdr>
          <w:bottom w:val="single" w:color="0D7377" w:sz="8" w:space="4"/>
        </w:pBdr>
        <w:spacing w:before="400" w:after="160"/>
      </w:pPr>
      <w:r>
        <w:rPr>
          <w:rFonts w:ascii="Arial" w:cs="Arial" w:eastAsia="Arial" w:hAnsi="Arial"/>
          <w:b/>
          <w:bCs/>
          <w:color w:val="1B3A6B"/>
          <w:sz w:val="28"/>
          <w:szCs w:val="28"/>
        </w:rPr>
        <w:t xml:space="preserve">Acquisition Strategy</w:t>
      </w:r>
    </w:p>
    <w:p>
      <w:pPr>
        <w:pStyle w:val="Heading2"/>
        <w:spacing w:before="280" w:after="120"/>
      </w:pPr>
      <w:r>
        <w:rPr>
          <w:rFonts w:ascii="Arial" w:cs="Arial" w:eastAsia="Arial" w:hAnsi="Arial"/>
          <w:b/>
          <w:bCs/>
          <w:color w:val="0D7377"/>
          <w:sz w:val="24"/>
          <w:szCs w:val="24"/>
        </w:rPr>
        <w:t xml:space="preserve">The Core Logic</w:t>
      </w:r>
    </w:p>
    <w:p>
      <w:pPr>
        <w:spacing w:before="60" w:after="100"/>
      </w:pPr>
      <w:r>
        <w:rPr>
          <w:rFonts w:ascii="Arial" w:cs="Arial" w:eastAsia="Arial" w:hAnsi="Arial"/>
          <w:color w:val="444444"/>
          <w:sz w:val="22"/>
          <w:szCs w:val="22"/>
        </w:rPr>
        <w:t xml:space="preserve">The target acquirer pays not just for what Beacon has built but for what they lose if someone else acquires it first. This creates a competitive acquisition dynamic that drives price toward defensive premiums — which are always higher than strategic premiums because fear pays more than ambition.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4"/>
              <w:left w:val="thick" w:color="0D7377" w:sz="16"/>
              <w:bottom w:val="single" w:color="0D7377" w:sz="4"/>
              <w:right w:val="single" w:color="0D7377" w:sz="4"/>
            </w:tcBorders>
            <w:shd w:fill="E6F4F5" w:val="clear"/>
            <w:tcMar>
              <w:top w:type="dxa" w:w="120"/>
              <w:left w:type="dxa" w:w="200"/>
              <w:bottom w:type="dxa" w:w="120"/>
              <w:right w:type="dxa" w:w="200"/>
            </w:tcMar>
          </w:tcPr>
          <w:p>
            <w:pPr>
              <w:spacing w:before="0" w:after="0"/>
            </w:pPr>
            <w:r>
              <w:rPr>
                <w:rFonts w:ascii="Arial" w:cs="Arial" w:eastAsia="Arial" w:hAnsi="Arial"/>
                <w:i/>
                <w:iCs/>
                <w:color w:val="444444"/>
                <w:sz w:val="21"/>
                <w:szCs w:val="21"/>
              </w:rPr>
              <w:t xml:space="preserve">To maximize acquisition price: create a situation where a defensive acquirer (Verisk, CoreLogic) and a strategic acquirer (Palantir, Esri, defense prime) are credible simultaneous bidders. Their presence in a competitive process drives price toward the defensive premium.</w:t>
            </w:r>
          </w:p>
        </w:tc>
      </w:tr>
    </w:tbl>
    <w:p>
      <w:pPr>
        <w:spacing w:before="200" w:after="200"/>
      </w:pPr>
      <w:r>
        <w:t xml:space="preserve"/>
      </w:r>
    </w:p>
    <w:p>
      <w:pPr>
        <w:pStyle w:val="Heading2"/>
        <w:spacing w:before="280" w:after="120"/>
      </w:pPr>
      <w:r>
        <w:rPr>
          <w:rFonts w:ascii="Arial" w:cs="Arial" w:eastAsia="Arial" w:hAnsi="Arial"/>
          <w:b/>
          <w:bCs/>
          <w:color w:val="0D7377"/>
          <w:sz w:val="24"/>
          <w:szCs w:val="24"/>
        </w:rPr>
        <w:t xml:space="preserve">Acquirer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6F4F5" w:val="clear"/>
            <w:tcMar>
              <w:top w:type="dxa" w:w="80"/>
              <w:left w:type="dxa" w:w="120"/>
              <w:bottom w:type="dxa" w:w="80"/>
              <w:right w:type="dxa" w:w="120"/>
            </w:tcMar>
          </w:tcPr>
          <w:p>
            <w:pPr>
              <w:spacing w:before="0" w:after="0"/>
            </w:pPr>
            <w:r>
              <w:rPr>
                <w:rFonts w:ascii="Arial" w:cs="Arial" w:eastAsia="Arial" w:hAnsi="Arial"/>
                <w:b/>
                <w:bCs/>
                <w:color w:val="1B3A6B"/>
                <w:sz w:val="21"/>
                <w:szCs w:val="21"/>
              </w:rPr>
              <w:t xml:space="preserve">Acquirer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1"/>
                <w:szCs w:val="21"/>
              </w:rPr>
              <w:t xml:space="preserve">Motivation &amp; 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B3A6B"/>
                <w:sz w:val="21"/>
                <w:szCs w:val="21"/>
              </w:rPr>
              <w:t xml:space="preserve">Verisk / CoreLogic</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444444"/>
                <w:sz w:val="21"/>
                <w:szCs w:val="21"/>
              </w:rPr>
              <w:t xml:space="preserve">DEFENSIVE. Beacon’s residential fire and flood risk data threatens their catastrophe modeling monopoly. They price insurance losses for the entire industry. A validated structure-level ignitability dataset is worth hundreds of millions in improved loss ratio accuracy. Highest payers. Highest risk to mission — may acquire to shelf the data.</w:t>
            </w:r>
          </w:p>
        </w:tc>
      </w:tr>
      <w:tr>
        <w:tc>
          <w:tcPr>
            <w:tcW w:type="dxa" w:w="2400"/>
            <w:tcBorders>
              <w:top w:val="single" w:color="CCCCCC" w:sz="1"/>
              <w:left w:val="single" w:color="CCCCCC" w:sz="1"/>
              <w:bottom w:val="single" w:color="CCCCCC" w:sz="1"/>
              <w:right w:val="single" w:color="CCCCCC" w:sz="1"/>
            </w:tcBorders>
            <w:shd w:fill="E6F4F5" w:val="clear"/>
            <w:tcMar>
              <w:top w:type="dxa" w:w="80"/>
              <w:left w:type="dxa" w:w="120"/>
              <w:bottom w:type="dxa" w:w="80"/>
              <w:right w:type="dxa" w:w="120"/>
            </w:tcMar>
          </w:tcPr>
          <w:p>
            <w:pPr>
              <w:spacing w:before="0" w:after="0"/>
            </w:pPr>
            <w:r>
              <w:rPr>
                <w:rFonts w:ascii="Arial" w:cs="Arial" w:eastAsia="Arial" w:hAnsi="Arial"/>
                <w:b/>
                <w:bCs/>
                <w:color w:val="1B3A6B"/>
                <w:sz w:val="21"/>
                <w:szCs w:val="21"/>
              </w:rPr>
              <w:t xml:space="preserve">Palantir / Anduril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1"/>
                <w:szCs w:val="21"/>
              </w:rPr>
              <w:t xml:space="preserve">STRATEGIC. Want proven mesh networking, government relationships, and defense-applicable sensor fusion. Cannot build civilian trust organically. Pay for the network, not just the technology.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B3A6B"/>
                <w:sz w:val="21"/>
                <w:szCs w:val="21"/>
              </w:rPr>
              <w:t xml:space="preserve">Esri</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444444"/>
                <w:sz w:val="21"/>
                <w:szCs w:val="21"/>
              </w:rPr>
              <w:t xml:space="preserve">STRATEGIC. Dominant GIS platform used by every fire agency and county assessor. Beacon’s real-time modeling layers fill the gap in their platform. They have the agency relationships; Beacon provides the layer.</w:t>
            </w:r>
          </w:p>
        </w:tc>
      </w:tr>
      <w:tr>
        <w:tc>
          <w:tcPr>
            <w:tcW w:type="dxa" w:w="2400"/>
            <w:tcBorders>
              <w:top w:val="single" w:color="CCCCCC" w:sz="1"/>
              <w:left w:val="single" w:color="CCCCCC" w:sz="1"/>
              <w:bottom w:val="single" w:color="CCCCCC" w:sz="1"/>
              <w:right w:val="single" w:color="CCCCCC" w:sz="1"/>
            </w:tcBorders>
            <w:shd w:fill="E6F4F5" w:val="clear"/>
            <w:tcMar>
              <w:top w:type="dxa" w:w="80"/>
              <w:left w:type="dxa" w:w="120"/>
              <w:bottom w:type="dxa" w:w="80"/>
              <w:right w:type="dxa" w:w="120"/>
            </w:tcMar>
          </w:tcPr>
          <w:p>
            <w:pPr>
              <w:spacing w:before="0" w:after="0"/>
            </w:pPr>
            <w:r>
              <w:rPr>
                <w:rFonts w:ascii="Arial" w:cs="Arial" w:eastAsia="Arial" w:hAnsi="Arial"/>
                <w:b/>
                <w:bCs/>
                <w:color w:val="1B3A6B"/>
                <w:sz w:val="21"/>
                <w:szCs w:val="21"/>
              </w:rPr>
              <w:t xml:space="preserve">NVIDIA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1"/>
                <w:szCs w:val="21"/>
              </w:rPr>
              <w:t xml:space="preserve">STRATEGIC. PhysicsNeMo integration and surrogate training pipeline is a showcase deployment. Also building robotics stack — the outdoor perception corpus is directly relevant.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B3A6B"/>
                <w:sz w:val="21"/>
                <w:szCs w:val="21"/>
              </w:rPr>
              <w:t xml:space="preserve">Defense Primes (Leidos, SAIC, Booz Allen)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444444"/>
                <w:sz w:val="21"/>
                <w:szCs w:val="21"/>
              </w:rPr>
              <w:t xml:space="preserve">STRATEGIC. Want program-of-record capability in disaster response and autonomous systems. A civilian sensor network proven in real degraded-infrastructure conditions is not replicable from a lab.</w:t>
            </w:r>
          </w:p>
        </w:tc>
      </w:tr>
      <w:tr>
        <w:tc>
          <w:tcPr>
            <w:tcW w:type="dxa" w:w="2400"/>
            <w:tcBorders>
              <w:top w:val="single" w:color="CCCCCC" w:sz="1"/>
              <w:left w:val="single" w:color="CCCCCC" w:sz="1"/>
              <w:bottom w:val="single" w:color="CCCCCC" w:sz="1"/>
              <w:right w:val="single" w:color="CCCCCC" w:sz="1"/>
            </w:tcBorders>
            <w:shd w:fill="E6F4F5" w:val="clear"/>
            <w:tcMar>
              <w:top w:type="dxa" w:w="80"/>
              <w:left w:type="dxa" w:w="120"/>
              <w:bottom w:type="dxa" w:w="80"/>
              <w:right w:type="dxa" w:w="120"/>
            </w:tcMar>
          </w:tcPr>
          <w:p>
            <w:pPr>
              <w:spacing w:before="0" w:after="0"/>
            </w:pPr>
            <w:r>
              <w:rPr>
                <w:rFonts w:ascii="Arial" w:cs="Arial" w:eastAsia="Arial" w:hAnsi="Arial"/>
                <w:b/>
                <w:bCs/>
                <w:color w:val="1B3A6B"/>
                <w:sz w:val="21"/>
                <w:szCs w:val="21"/>
              </w:rPr>
              <w:t xml:space="preserve">Japanese Government / JAXA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1"/>
                <w:szCs w:val="21"/>
              </w:rPr>
              <w:t xml:space="preserve">GOVERNMENT. Multi-hazard platform with proven last-mile fallback. Slower process but strategic signal that elevates valuation in all other conversations.</w:t>
            </w:r>
          </w:p>
        </w:tc>
      </w:tr>
    </w:tbl>
    <w:p>
      <w:pPr>
        <w:spacing w:before="200" w:after="200"/>
      </w:pPr>
      <w:r>
        <w:t xml:space="preserve"/>
      </w:r>
    </w:p>
    <w:p>
      <w:pPr>
        <w:spacing w:before="200" w:after="200"/>
      </w:pPr>
      <w:r>
        <w:t xml:space="preserve"/>
      </w:r>
    </w:p>
    <w:p>
      <w:pPr>
        <w:pStyle w:val="Heading1"/>
        <w:pBdr>
          <w:bottom w:val="single" w:color="0D7377" w:sz="8" w:space="4"/>
        </w:pBdr>
        <w:spacing w:before="400" w:after="160"/>
      </w:pPr>
      <w:r>
        <w:rPr>
          <w:rFonts w:ascii="Arial" w:cs="Arial" w:eastAsia="Arial" w:hAnsi="Arial"/>
          <w:b/>
          <w:bCs/>
          <w:color w:val="1B3A6B"/>
          <w:sz w:val="28"/>
          <w:szCs w:val="28"/>
        </w:rPr>
        <w:t xml:space="preserve">Revenue Model</w:t>
      </w:r>
    </w:p>
    <w:p>
      <w:pPr>
        <w:spacing w:before="60" w:after="100"/>
      </w:pPr>
      <w:r>
        <w:rPr>
          <w:rFonts w:ascii="Arial" w:cs="Arial" w:eastAsia="Arial" w:hAnsi="Arial"/>
          <w:color w:val="444444"/>
          <w:sz w:val="22"/>
          <w:szCs w:val="22"/>
        </w:rPr>
        <w:t xml:space="preserve">All revenue comes from institutional buyers. The consumer app generates zero direct revenue and remains permanently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6F4F5" w:val="clear"/>
            <w:tcMar>
              <w:top w:type="dxa" w:w="80"/>
              <w:left w:type="dxa" w:w="120"/>
              <w:bottom w:type="dxa" w:w="80"/>
              <w:right w:type="dxa" w:w="120"/>
            </w:tcMar>
          </w:tcPr>
          <w:p>
            <w:pPr>
              <w:spacing w:before="0" w:after="0"/>
            </w:pPr>
            <w:r>
              <w:rPr>
                <w:rFonts w:ascii="Arial" w:cs="Arial" w:eastAsia="Arial" w:hAnsi="Arial"/>
                <w:b/>
                <w:bCs/>
                <w:color w:val="1B3A6B"/>
                <w:sz w:val="21"/>
                <w:szCs w:val="21"/>
              </w:rPr>
              <w:t xml:space="preserve">Revenue Stream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1"/>
                <w:szCs w:val="21"/>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B3A6B"/>
                <w:sz w:val="21"/>
                <w:szCs w:val="21"/>
              </w:rPr>
              <w:t xml:space="preserve">State Agency Contracts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444444"/>
                <w:sz w:val="21"/>
                <w:szCs w:val="21"/>
              </w:rPr>
              <w:t xml:space="preserve">Paid pilots and operational contracts with state emergency management agencies. California and Texas are immediate targets. Fastest path to real revenue. $50K–$500K per contract.</w:t>
            </w:r>
          </w:p>
        </w:tc>
      </w:tr>
      <w:tr>
        <w:tc>
          <w:tcPr>
            <w:tcW w:type="dxa" w:w="2600"/>
            <w:tcBorders>
              <w:top w:val="single" w:color="CCCCCC" w:sz="1"/>
              <w:left w:val="single" w:color="CCCCCC" w:sz="1"/>
              <w:bottom w:val="single" w:color="CCCCCC" w:sz="1"/>
              <w:right w:val="single" w:color="CCCCCC" w:sz="1"/>
            </w:tcBorders>
            <w:shd w:fill="E6F4F5" w:val="clear"/>
            <w:tcMar>
              <w:top w:type="dxa" w:w="80"/>
              <w:left w:type="dxa" w:w="120"/>
              <w:bottom w:type="dxa" w:w="80"/>
              <w:right w:type="dxa" w:w="120"/>
            </w:tcMar>
          </w:tcPr>
          <w:p>
            <w:pPr>
              <w:spacing w:before="0" w:after="0"/>
            </w:pPr>
            <w:r>
              <w:rPr>
                <w:rFonts w:ascii="Arial" w:cs="Arial" w:eastAsia="Arial" w:hAnsi="Arial"/>
                <w:b/>
                <w:bCs/>
                <w:color w:val="1B3A6B"/>
                <w:sz w:val="21"/>
                <w:szCs w:val="21"/>
              </w:rPr>
              <w:t xml:space="preserve">EMS / First Responder Subscriptions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1"/>
                <w:szCs w:val="21"/>
              </w:rPr>
              <w:t xml:space="preserve">Annual subscriptions for Beacon EMS tier — fire departments, county emergency management offices. Distribution moat and sensor network enabler.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B3A6B"/>
                <w:sz w:val="21"/>
                <w:szCs w:val="21"/>
              </w:rPr>
              <w:t xml:space="preserve">SBIR Awards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444444"/>
                <w:sz w:val="21"/>
                <w:szCs w:val="21"/>
              </w:rPr>
              <w:t xml:space="preserve">Phase I: ~$300K feasibility funding. Phase II: up to $2M prototype development. Non-dilutive. Establishes federal contracting relationship. Requires delivering real R&amp;D results.</w:t>
            </w:r>
          </w:p>
        </w:tc>
      </w:tr>
      <w:tr>
        <w:tc>
          <w:tcPr>
            <w:tcW w:type="dxa" w:w="2600"/>
            <w:tcBorders>
              <w:top w:val="single" w:color="CCCCCC" w:sz="1"/>
              <w:left w:val="single" w:color="CCCCCC" w:sz="1"/>
              <w:bottom w:val="single" w:color="CCCCCC" w:sz="1"/>
              <w:right w:val="single" w:color="CCCCCC" w:sz="1"/>
            </w:tcBorders>
            <w:shd w:fill="E6F4F5" w:val="clear"/>
            <w:tcMar>
              <w:top w:type="dxa" w:w="80"/>
              <w:left w:type="dxa" w:w="120"/>
              <w:bottom w:type="dxa" w:w="80"/>
              <w:right w:type="dxa" w:w="120"/>
            </w:tcMar>
          </w:tcPr>
          <w:p>
            <w:pPr>
              <w:spacing w:before="0" w:after="0"/>
            </w:pPr>
            <w:r>
              <w:rPr>
                <w:rFonts w:ascii="Arial" w:cs="Arial" w:eastAsia="Arial" w:hAnsi="Arial"/>
                <w:b/>
                <w:bCs/>
                <w:color w:val="1B3A6B"/>
                <w:sz w:val="21"/>
                <w:szCs w:val="21"/>
              </w:rPr>
              <w:t xml:space="preserve">Reinsurance Data Licensing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1"/>
                <w:szCs w:val="21"/>
              </w:rPr>
              <w:t xml:space="preserve">License aggregate model outputs to Munich Re, Swiss Re, Verisk — expected loss ratios by census tract, regional fire spread probability distributions. Reinsurers are the insurance company’s insurance company; they never interact with individual policyholders. Important constraint: outputs licensed only at census tract level or coarser. No individual property risk profiling, even without names attached. Blurring this line is where the ethical case breaks down.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B3A6B"/>
                <w:sz w:val="21"/>
                <w:szCs w:val="21"/>
              </w:rPr>
              <w:t xml:space="preserve">Defense / Robotics Model Licensing</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444444"/>
                <w:sz w:val="21"/>
                <w:szCs w:val="21"/>
              </w:rPr>
              <w:t xml:space="preserve">License trained perception models (depth estimation, terrain classification, explosion signature models) to defense primes, robotics companies. Retain training data. No user data in the licensed artifact.</w:t>
            </w:r>
          </w:p>
        </w:tc>
      </w:tr>
      <w:tr>
        <w:tc>
          <w:tcPr>
            <w:tcW w:type="dxa" w:w="2600"/>
            <w:tcBorders>
              <w:top w:val="single" w:color="CCCCCC" w:sz="1"/>
              <w:left w:val="single" w:color="CCCCCC" w:sz="1"/>
              <w:bottom w:val="single" w:color="CCCCCC" w:sz="1"/>
              <w:right w:val="single" w:color="CCCCCC" w:sz="1"/>
            </w:tcBorders>
            <w:shd w:fill="E6F4F5" w:val="clear"/>
            <w:tcMar>
              <w:top w:type="dxa" w:w="80"/>
              <w:left w:type="dxa" w:w="120"/>
              <w:bottom w:type="dxa" w:w="80"/>
              <w:right w:type="dxa" w:w="120"/>
            </w:tcMar>
          </w:tcPr>
          <w:p>
            <w:pPr>
              <w:spacing w:before="0" w:after="0"/>
            </w:pPr>
            <w:r>
              <w:rPr>
                <w:rFonts w:ascii="Arial" w:cs="Arial" w:eastAsia="Arial" w:hAnsi="Arial"/>
                <w:b/>
                <w:bCs/>
                <w:color w:val="1B3A6B"/>
                <w:sz w:val="21"/>
                <w:szCs w:val="21"/>
              </w:rPr>
              <w:t xml:space="preserve">International Government Contracts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1"/>
                <w:szCs w:val="21"/>
              </w:rPr>
              <w:t xml:space="preserve">Japan, Southeast Asia, Pacific Rim. Disaster management agencies paying for multi-hazard platform with documented last-mile gaps Beacon fills.</w:t>
            </w:r>
          </w:p>
        </w:tc>
      </w:tr>
    </w:tbl>
    <w:p>
      <w:pPr>
        <w:spacing w:before="200" w:after="200"/>
      </w:pPr>
      <w:r>
        <w:t xml:space="preserve"/>
      </w:r>
    </w:p>
    <w:p>
      <w:pPr>
        <w:pStyle w:val="Heading1"/>
        <w:pBdr>
          <w:bottom w:val="single" w:color="0D7377" w:sz="8" w:space="4"/>
        </w:pBdr>
        <w:spacing w:before="400" w:after="160"/>
      </w:pPr>
      <w:r>
        <w:rPr>
          <w:rFonts w:ascii="Arial" w:cs="Arial" w:eastAsia="Arial" w:hAnsi="Arial"/>
          <w:b/>
          <w:bCs/>
          <w:color w:val="1B3A6B"/>
          <w:sz w:val="28"/>
          <w:szCs w:val="28"/>
        </w:rPr>
        <w:t xml:space="preserve">SBIR: What It Is and What It Requires</w:t>
      </w:r>
    </w:p>
    <w:p>
      <w:pPr>
        <w:spacing w:before="60" w:after="100"/>
      </w:pPr>
      <w:r>
        <w:rPr>
          <w:rFonts w:ascii="Arial" w:cs="Arial" w:eastAsia="Arial" w:hAnsi="Arial"/>
          <w:color w:val="444444"/>
          <w:sz w:val="22"/>
          <w:szCs w:val="22"/>
        </w:rPr>
        <w:t xml:space="preserve">SBIR is not a grant for doing something good. It is R&amp;D funding tied to a specific technical question the agency wants answered, with the expectation that you commercialize the result.</w:t>
      </w:r>
    </w:p>
    <w:p>
      <w:pPr>
        <w:pStyle w:val="Heading2"/>
        <w:spacing w:before="280" w:after="120"/>
      </w:pPr>
      <w:r>
        <w:rPr>
          <w:rFonts w:ascii="Arial" w:cs="Arial" w:eastAsia="Arial" w:hAnsi="Arial"/>
          <w:b/>
          <w:bCs/>
          <w:color w:val="0D7377"/>
          <w:sz w:val="24"/>
          <w:szCs w:val="24"/>
        </w:rPr>
        <w:t xml:space="preserve">The Three Phases</w:t>
      </w:r>
    </w:p>
    <w:p>
      <w:pPr>
        <w:pStyle w:val="ListParagraph"/>
        <w:numPr>
          <w:ilvl w:val="0"/>
          <w:numId w:val="2"/>
        </w:numPr>
        <w:spacing w:before="40" w:after="40"/>
      </w:pPr>
      <w:r>
        <w:rPr>
          <w:rFonts w:ascii="Arial" w:cs="Arial" w:eastAsia="Arial" w:hAnsi="Arial"/>
          <w:color w:val="444444"/>
          <w:sz w:val="22"/>
          <w:szCs w:val="22"/>
        </w:rPr>
        <w:t xml:space="preserve">Phase I — Feasibility. Typical award: $250K–$314K. Duration: 3–6 months. Required deliverable: technical report demonstrating scientific and technical merit of the proposed concept. For NSF this is the only hard deliverable. For DoD agencies there are additional reporting requirements.</w:t>
      </w:r>
    </w:p>
    <w:p>
      <w:pPr>
        <w:pStyle w:val="ListParagraph"/>
        <w:numPr>
          <w:ilvl w:val="0"/>
          <w:numId w:val="2"/>
        </w:numPr>
        <w:spacing w:before="40" w:after="40"/>
      </w:pPr>
      <w:r>
        <w:rPr>
          <w:rFonts w:ascii="Arial" w:cs="Arial" w:eastAsia="Arial" w:hAnsi="Arial"/>
          <w:color w:val="444444"/>
          <w:sz w:val="22"/>
          <w:szCs w:val="22"/>
        </w:rPr>
        <w:t xml:space="preserve">Phase II — Prototype development. Typical award: up to $2M. Duration: 12–24 months. Deliverable: working prototype or demonstration system. Only Phase I awardees are typically eligible.</w:t>
      </w:r>
    </w:p>
    <w:p>
      <w:pPr>
        <w:pStyle w:val="ListParagraph"/>
        <w:numPr>
          <w:ilvl w:val="0"/>
          <w:numId w:val="2"/>
        </w:numPr>
        <w:spacing w:before="40" w:after="40"/>
      </w:pPr>
      <w:r>
        <w:rPr>
          <w:rFonts w:ascii="Arial" w:cs="Arial" w:eastAsia="Arial" w:hAnsi="Arial"/>
          <w:color w:val="444444"/>
          <w:sz w:val="22"/>
          <w:szCs w:val="22"/>
        </w:rPr>
        <w:t xml:space="preserve">Phase III — Commercialization. No SBIR funding. Government can procure your product through normal acquisition channels. This is the transition to real contracts.</w:t>
      </w:r>
    </w:p>
    <w:p>
      <w:pPr>
        <w:pStyle w:val="Heading2"/>
        <w:spacing w:before="280" w:after="120"/>
      </w:pPr>
      <w:r>
        <w:rPr>
          <w:rFonts w:ascii="Arial" w:cs="Arial" w:eastAsia="Arial" w:hAnsi="Arial"/>
          <w:b/>
          <w:bCs/>
          <w:color w:val="0D7377"/>
          <w:sz w:val="24"/>
          <w:szCs w:val="24"/>
        </w:rPr>
        <w:t xml:space="preserve">Important Facts</w:t>
      </w:r>
    </w:p>
    <w:p>
      <w:pPr>
        <w:pStyle w:val="ListParagraph"/>
        <w:numPr>
          <w:ilvl w:val="0"/>
          <w:numId w:val="2"/>
        </w:numPr>
        <w:spacing w:before="40" w:after="40"/>
      </w:pPr>
      <w:r>
        <w:rPr>
          <w:rFonts w:ascii="Arial" w:cs="Arial" w:eastAsia="Arial" w:hAnsi="Arial"/>
          <w:color w:val="444444"/>
          <w:sz w:val="22"/>
          <w:szCs w:val="22"/>
        </w:rPr>
        <w:t xml:space="preserve">Non-dilutive: you give up no equity.</w:t>
      </w:r>
    </w:p>
    <w:p>
      <w:pPr>
        <w:pStyle w:val="ListParagraph"/>
        <w:numPr>
          <w:ilvl w:val="0"/>
          <w:numId w:val="2"/>
        </w:numPr>
        <w:spacing w:before="40" w:after="40"/>
      </w:pPr>
      <w:r>
        <w:rPr>
          <w:rFonts w:ascii="Arial" w:cs="Arial" w:eastAsia="Arial" w:hAnsi="Arial"/>
          <w:color w:val="444444"/>
          <w:sz w:val="22"/>
          <w:szCs w:val="22"/>
        </w:rPr>
        <w:t xml:space="preserve">IP retention: you keep your intellectual property. The government receives limited data rights during a protection period but cannot commercialize your work without permission for 20 years.</w:t>
      </w:r>
    </w:p>
    <w:p>
      <w:pPr>
        <w:pStyle w:val="ListParagraph"/>
        <w:numPr>
          <w:ilvl w:val="0"/>
          <w:numId w:val="2"/>
        </w:numPr>
        <w:spacing w:before="40" w:after="40"/>
      </w:pPr>
      <w:r>
        <w:rPr>
          <w:rFonts w:ascii="Arial" w:cs="Arial" w:eastAsia="Arial" w:hAnsi="Arial"/>
          <w:color w:val="444444"/>
          <w:sz w:val="22"/>
          <w:szCs w:val="22"/>
        </w:rPr>
        <w:t xml:space="preserve">WOSB advantage: Women-Owned Small Business set-asides reduce competition pool for specific solicitations. This is a real and material advantage.</w:t>
      </w:r>
    </w:p>
    <w:p>
      <w:pPr>
        <w:pStyle w:val="ListParagraph"/>
        <w:numPr>
          <w:ilvl w:val="0"/>
          <w:numId w:val="2"/>
        </w:numPr>
        <w:spacing w:before="40" w:after="40"/>
      </w:pPr>
      <w:r>
        <w:rPr>
          <w:rFonts w:ascii="Arial" w:cs="Arial" w:eastAsia="Arial" w:hAnsi="Arial"/>
          <w:color w:val="444444"/>
          <w:sz w:val="22"/>
          <w:szCs w:val="22"/>
        </w:rPr>
        <w:t xml:space="preserve">Agency variation: NSF SBIR is grant-based with lighter deliverable requirements. DoD SBIR (Army, Air Force, DARPA) is contract-based with prototype expectations in Phase II. Read the specific solicitation carefully.</w:t>
      </w:r>
    </w:p>
    <w:p>
      <w:pPr>
        <w:pStyle w:val="ListParagraph"/>
        <w:numPr>
          <w:ilvl w:val="0"/>
          <w:numId w:val="2"/>
        </w:numPr>
        <w:spacing w:before="40" w:after="40"/>
      </w:pPr>
      <w:r>
        <w:rPr>
          <w:rFonts w:ascii="Arial" w:cs="Arial" w:eastAsia="Arial" w:hAnsi="Arial"/>
          <w:color w:val="444444"/>
          <w:sz w:val="22"/>
          <w:szCs w:val="22"/>
        </w:rPr>
        <w:t xml:space="preserve">2025 disruption: SBIR program authority lapsed in late 2025 during a government shutdown. Verify current solicitation status before investing significant application time.</w:t>
      </w:r>
    </w:p>
    <w:p>
      <w:pPr>
        <w:pStyle w:val="Heading2"/>
        <w:spacing w:before="280" w:after="120"/>
      </w:pPr>
      <w:r>
        <w:rPr>
          <w:rFonts w:ascii="Arial" w:cs="Arial" w:eastAsia="Arial" w:hAnsi="Arial"/>
          <w:b/>
          <w:bCs/>
          <w:color w:val="0D7377"/>
          <w:sz w:val="24"/>
          <w:szCs w:val="24"/>
        </w:rPr>
        <w:t xml:space="preserve">Target Agencies for Beacon</w:t>
      </w:r>
    </w:p>
    <w:p>
      <w:pPr>
        <w:pStyle w:val="ListParagraph"/>
        <w:numPr>
          <w:ilvl w:val="0"/>
          <w:numId w:val="2"/>
        </w:numPr>
        <w:spacing w:before="40" w:after="40"/>
      </w:pPr>
      <w:r>
        <w:rPr>
          <w:rFonts w:ascii="Arial" w:cs="Arial" w:eastAsia="Arial" w:hAnsi="Arial"/>
          <w:color w:val="444444"/>
          <w:sz w:val="22"/>
          <w:szCs w:val="22"/>
        </w:rPr>
        <w:t xml:space="preserve">NSF — America’s Seed Fund. Disaster resilience, sensor networks, AI for public safety. Lightest deliverable requirements. Best for early-stage validation work.</w:t>
      </w:r>
    </w:p>
    <w:p>
      <w:pPr>
        <w:pStyle w:val="ListParagraph"/>
        <w:numPr>
          <w:ilvl w:val="0"/>
          <w:numId w:val="2"/>
        </w:numPr>
        <w:spacing w:before="40" w:after="40"/>
      </w:pPr>
      <w:r>
        <w:rPr>
          <w:rFonts w:ascii="Arial" w:cs="Arial" w:eastAsia="Arial" w:hAnsi="Arial"/>
          <w:color w:val="444444"/>
          <w:sz w:val="22"/>
          <w:szCs w:val="22"/>
        </w:rPr>
        <w:t xml:space="preserve">DHS Science &amp; Technology Directorate — Emergency alerting, situational awareness, critical infrastructure resilience. Direct buyer relevance.</w:t>
      </w:r>
    </w:p>
    <w:p>
      <w:pPr>
        <w:pStyle w:val="ListParagraph"/>
        <w:numPr>
          <w:ilvl w:val="0"/>
          <w:numId w:val="2"/>
        </w:numPr>
        <w:spacing w:before="40" w:after="40"/>
      </w:pPr>
      <w:r>
        <w:rPr>
          <w:rFonts w:ascii="Arial" w:cs="Arial" w:eastAsia="Arial" w:hAnsi="Arial"/>
          <w:color w:val="444444"/>
          <w:sz w:val="22"/>
          <w:szCs w:val="22"/>
        </w:rPr>
        <w:t xml:space="preserve">DARPA — Hardest to win, highest signal value if awarded. Sensor fusion, autonomous systems, multi-modal detection. Applicable once Phase I results exist.</w:t>
      </w:r>
    </w:p>
    <w:p>
      <w:pPr>
        <w:pStyle w:val="ListParagraph"/>
        <w:numPr>
          <w:ilvl w:val="0"/>
          <w:numId w:val="2"/>
        </w:numPr>
        <w:spacing w:before="40" w:after="40"/>
      </w:pPr>
      <w:r>
        <w:rPr>
          <w:rFonts w:ascii="Arial" w:cs="Arial" w:eastAsia="Arial" w:hAnsi="Arial"/>
          <w:color w:val="444444"/>
          <w:sz w:val="22"/>
          <w:szCs w:val="22"/>
        </w:rPr>
        <w:t xml:space="preserve">Air Force AFWERX — Issues 1,000–1,500 Phase I awards annually at $50K each. High volume, lower bar, 90-day award timeline. Good entry point.</w:t>
      </w:r>
    </w:p>
    <w:p>
      <w:pPr>
        <w:spacing w:before="200" w:after="200"/>
      </w:pPr>
      <w:r>
        <w:t xml:space="preserve"/>
      </w:r>
    </w:p>
    <w:p>
      <w:pPr>
        <w:pStyle w:val="Heading1"/>
        <w:pBdr>
          <w:bottom w:val="single" w:color="0D7377" w:sz="8" w:space="4"/>
        </w:pBdr>
        <w:spacing w:before="400" w:after="160"/>
      </w:pPr>
      <w:r>
        <w:rPr>
          <w:rFonts w:ascii="Arial" w:cs="Arial" w:eastAsia="Arial" w:hAnsi="Arial"/>
          <w:b/>
          <w:bCs/>
          <w:color w:val="1B3A6B"/>
          <w:sz w:val="28"/>
          <w:szCs w:val="28"/>
        </w:rPr>
        <w:t xml:space="preserve">NVIDIA Inception: Apply This Week</w:t>
      </w:r>
    </w:p>
    <w:p>
      <w:pPr>
        <w:spacing w:before="60" w:after="100"/>
      </w:pPr>
      <w:r>
        <w:rPr>
          <w:rFonts w:ascii="Arial" w:cs="Arial" w:eastAsia="Arial" w:hAnsi="Arial"/>
          <w:color w:val="444444"/>
          <w:sz w:val="22"/>
          <w:szCs w:val="22"/>
        </w:rPr>
        <w:t xml:space="preserve">NVIDIA Inception is free, open to startups at all stages, and requires no revenue, no product, and no NVIDIA GPU usage to join.</w:t>
      </w:r>
    </w:p>
    <w:p>
      <w:pPr>
        <w:pStyle w:val="Heading2"/>
        <w:spacing w:before="280" w:after="120"/>
      </w:pPr>
      <w:r>
        <w:rPr>
          <w:rFonts w:ascii="Arial" w:cs="Arial" w:eastAsia="Arial" w:hAnsi="Arial"/>
          <w:b/>
          <w:bCs/>
          <w:color w:val="0D7377"/>
          <w:sz w:val="24"/>
          <w:szCs w:val="24"/>
        </w:rPr>
        <w:t xml:space="preserve">Requirements (All Met Today)</w:t>
      </w:r>
    </w:p>
    <w:p>
      <w:pPr>
        <w:pStyle w:val="ListParagraph"/>
        <w:numPr>
          <w:ilvl w:val="0"/>
          <w:numId w:val="2"/>
        </w:numPr>
        <w:spacing w:before="40" w:after="40"/>
      </w:pPr>
      <w:r>
        <w:rPr>
          <w:rFonts w:ascii="Arial" w:cs="Arial" w:eastAsia="Arial" w:hAnsi="Arial"/>
          <w:color w:val="444444"/>
          <w:sz w:val="22"/>
          <w:szCs w:val="22"/>
        </w:rPr>
        <w:t xml:space="preserve">At least one developer employed: ✓</w:t>
      </w:r>
    </w:p>
    <w:p>
      <w:pPr>
        <w:pStyle w:val="ListParagraph"/>
        <w:numPr>
          <w:ilvl w:val="0"/>
          <w:numId w:val="2"/>
        </w:numPr>
        <w:spacing w:before="40" w:after="40"/>
      </w:pPr>
      <w:r>
        <w:rPr>
          <w:rFonts w:ascii="Arial" w:cs="Arial" w:eastAsia="Arial" w:hAnsi="Arial"/>
          <w:color w:val="444444"/>
          <w:sz w:val="22"/>
          <w:szCs w:val="22"/>
        </w:rPr>
        <w:t xml:space="preserve">Working website: ✓ (or can be live in 24 hours)</w:t>
      </w:r>
    </w:p>
    <w:p>
      <w:pPr>
        <w:pStyle w:val="ListParagraph"/>
        <w:numPr>
          <w:ilvl w:val="0"/>
          <w:numId w:val="2"/>
        </w:numPr>
        <w:spacing w:before="40" w:after="40"/>
      </w:pPr>
      <w:r>
        <w:rPr>
          <w:rFonts w:ascii="Arial" w:cs="Arial" w:eastAsia="Arial" w:hAnsi="Arial"/>
          <w:color w:val="444444"/>
          <w:sz w:val="22"/>
          <w:szCs w:val="22"/>
        </w:rPr>
        <w:t xml:space="preserve">Officially incorporated: ✓ (Mathison Technologies, Inc.)</w:t>
      </w:r>
    </w:p>
    <w:p>
      <w:pPr>
        <w:pStyle w:val="ListParagraph"/>
        <w:numPr>
          <w:ilvl w:val="0"/>
          <w:numId w:val="2"/>
        </w:numPr>
        <w:spacing w:before="40" w:after="40"/>
      </w:pPr>
      <w:r>
        <w:rPr>
          <w:rFonts w:ascii="Arial" w:cs="Arial" w:eastAsia="Arial" w:hAnsi="Arial"/>
          <w:color w:val="444444"/>
          <w:sz w:val="22"/>
          <w:szCs w:val="22"/>
        </w:rPr>
        <w:t xml:space="preserve">Less than 10 years old: ✓</w:t>
      </w:r>
    </w:p>
    <w:p>
      <w:pPr>
        <w:pStyle w:val="ListParagraph"/>
        <w:numPr>
          <w:ilvl w:val="0"/>
          <w:numId w:val="2"/>
        </w:numPr>
        <w:spacing w:before="40" w:after="40"/>
      </w:pPr>
      <w:r>
        <w:rPr>
          <w:rFonts w:ascii="Arial" w:cs="Arial" w:eastAsia="Arial" w:hAnsi="Arial"/>
          <w:color w:val="444444"/>
          <w:sz w:val="22"/>
          <w:szCs w:val="22"/>
        </w:rPr>
        <w:t xml:space="preserve">Not a consulting firm, crypto company, cloud provider, reseller, or public company: ✓</w:t>
      </w:r>
    </w:p>
    <w:p>
      <w:pPr>
        <w:pStyle w:val="Heading2"/>
        <w:spacing w:before="280" w:after="120"/>
      </w:pPr>
      <w:r>
        <w:rPr>
          <w:rFonts w:ascii="Arial" w:cs="Arial" w:eastAsia="Arial" w:hAnsi="Arial"/>
          <w:b/>
          <w:bCs/>
          <w:color w:val="0D7377"/>
          <w:sz w:val="24"/>
          <w:szCs w:val="24"/>
        </w:rPr>
        <w:t xml:space="preserve">Benefits</w:t>
      </w:r>
    </w:p>
    <w:p>
      <w:pPr>
        <w:pStyle w:val="ListParagraph"/>
        <w:numPr>
          <w:ilvl w:val="0"/>
          <w:numId w:val="2"/>
        </w:numPr>
        <w:spacing w:before="40" w:after="40"/>
      </w:pPr>
      <w:r>
        <w:rPr>
          <w:rFonts w:ascii="Arial" w:cs="Arial" w:eastAsia="Arial" w:hAnsi="Arial"/>
          <w:color w:val="444444"/>
          <w:sz w:val="22"/>
          <w:szCs w:val="22"/>
        </w:rPr>
        <w:t xml:space="preserve">GPU compute credits (AWS, GCP, and partner cloud providers) — immediately useful for surrogate training.</w:t>
      </w:r>
    </w:p>
    <w:p>
      <w:pPr>
        <w:pStyle w:val="ListParagraph"/>
        <w:numPr>
          <w:ilvl w:val="0"/>
          <w:numId w:val="2"/>
        </w:numPr>
        <w:spacing w:before="40" w:after="40"/>
      </w:pPr>
      <w:r>
        <w:rPr>
          <w:rFonts w:ascii="Arial" w:cs="Arial" w:eastAsia="Arial" w:hAnsi="Arial"/>
          <w:color w:val="444444"/>
          <w:sz w:val="22"/>
          <w:szCs w:val="22"/>
        </w:rPr>
        <w:t xml:space="preserve">30% off DGX Cloud for model training.</w:t>
      </w:r>
    </w:p>
    <w:p>
      <w:pPr>
        <w:pStyle w:val="ListParagraph"/>
        <w:numPr>
          <w:ilvl w:val="0"/>
          <w:numId w:val="2"/>
        </w:numPr>
        <w:spacing w:before="40" w:after="40"/>
      </w:pPr>
      <w:r>
        <w:rPr>
          <w:rFonts w:ascii="Arial" w:cs="Arial" w:eastAsia="Arial" w:hAnsi="Arial"/>
          <w:color w:val="444444"/>
          <w:sz w:val="22"/>
          <w:szCs w:val="22"/>
        </w:rPr>
        <w:t xml:space="preserve">NVIDIA Deep Learning Institute training credits.</w:t>
      </w:r>
    </w:p>
    <w:p>
      <w:pPr>
        <w:pStyle w:val="ListParagraph"/>
        <w:numPr>
          <w:ilvl w:val="0"/>
          <w:numId w:val="2"/>
        </w:numPr>
        <w:spacing w:before="40" w:after="40"/>
      </w:pPr>
      <w:r>
        <w:rPr>
          <w:rFonts w:ascii="Arial" w:cs="Arial" w:eastAsia="Arial" w:hAnsi="Arial"/>
          <w:color w:val="444444"/>
          <w:sz w:val="22"/>
          <w:szCs w:val="22"/>
        </w:rPr>
        <w:t xml:space="preserve">Preferred pricing on NVIDIA hardware.</w:t>
      </w:r>
    </w:p>
    <w:p>
      <w:pPr>
        <w:pStyle w:val="ListParagraph"/>
        <w:numPr>
          <w:ilvl w:val="0"/>
          <w:numId w:val="2"/>
        </w:numPr>
        <w:spacing w:before="40" w:after="40"/>
      </w:pPr>
      <w:r>
        <w:rPr>
          <w:rFonts w:ascii="Arial" w:cs="Arial" w:eastAsia="Arial" w:hAnsi="Arial"/>
          <w:color w:val="444444"/>
          <w:sz w:val="22"/>
          <w:szCs w:val="22"/>
        </w:rPr>
        <w:t xml:space="preserve">VC network introductions through Inception Capital Connect.</w:t>
      </w:r>
    </w:p>
    <w:p>
      <w:pPr>
        <w:pStyle w:val="ListParagraph"/>
        <w:numPr>
          <w:ilvl w:val="0"/>
          <w:numId w:val="2"/>
        </w:numPr>
        <w:spacing w:before="40" w:after="40"/>
      </w:pPr>
      <w:r>
        <w:rPr>
          <w:rFonts w:ascii="Arial" w:cs="Arial" w:eastAsia="Arial" w:hAnsi="Arial"/>
          <w:color w:val="444444"/>
          <w:sz w:val="22"/>
          <w:szCs w:val="22"/>
        </w:rPr>
        <w:t xml:space="preserve">Co-marketing support as the platform matures.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4"/>
              <w:left w:val="thick" w:color="0D7377" w:sz="16"/>
              <w:bottom w:val="single" w:color="0D7377" w:sz="4"/>
              <w:right w:val="single" w:color="0D7377" w:sz="4"/>
            </w:tcBorders>
            <w:shd w:fill="E6F4F5" w:val="clear"/>
            <w:tcMar>
              <w:top w:type="dxa" w:w="120"/>
              <w:left w:type="dxa" w:w="200"/>
              <w:bottom w:type="dxa" w:w="120"/>
              <w:right w:type="dxa" w:w="200"/>
            </w:tcMar>
          </w:tcPr>
          <w:p>
            <w:pPr>
              <w:spacing w:before="0" w:after="0"/>
            </w:pPr>
            <w:r>
              <w:rPr>
                <w:rFonts w:ascii="Arial" w:cs="Arial" w:eastAsia="Arial" w:hAnsi="Arial"/>
                <w:i/>
                <w:iCs/>
                <w:color w:val="444444"/>
                <w:sz w:val="21"/>
                <w:szCs w:val="21"/>
              </w:rPr>
              <w:t xml:space="preserve">Action: Apply at nvidia.com/en-us/startups. Takes approximately one hour. Do it this week, not this month.</w:t>
            </w:r>
          </w:p>
        </w:tc>
      </w:tr>
    </w:tbl>
    <w:p>
      <w:pPr>
        <w:spacing w:before="200" w:after="200"/>
      </w:pPr>
      <w:r>
        <w:t xml:space="preserve"/>
      </w:r>
    </w:p>
    <w:p>
      <w:pPr>
        <w:pStyle w:val="Heading1"/>
        <w:pBdr>
          <w:bottom w:val="single" w:color="0D7377" w:sz="8" w:space="4"/>
        </w:pBdr>
        <w:spacing w:before="400" w:after="160"/>
      </w:pPr>
      <w:r>
        <w:rPr>
          <w:rFonts w:ascii="Arial" w:cs="Arial" w:eastAsia="Arial" w:hAnsi="Arial"/>
          <w:b/>
          <w:bCs/>
          <w:color w:val="1B3A6B"/>
          <w:sz w:val="28"/>
          <w:szCs w:val="28"/>
        </w:rPr>
        <w:t xml:space="preserve">The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spacing w:before="0" w:after="0"/>
            </w:pPr>
            <w:r>
              <w:rPr>
                <w:rFonts w:ascii="Arial" w:cs="Arial" w:eastAsia="Arial" w:hAnsi="Arial"/>
                <w:b/>
                <w:bCs/>
                <w:color w:val="AADDDD"/>
                <w:sz w:val="20"/>
                <w:szCs w:val="20"/>
              </w:rPr>
              <w:t xml:space="preserve">PHASE 0  </w:t>
            </w:r>
            <w:r>
              <w:rPr>
                <w:rFonts w:ascii="Arial" w:cs="Arial" w:eastAsia="Arial" w:hAnsi="Arial"/>
                <w:b/>
                <w:bCs/>
                <w:color w:val="FFFFFF"/>
                <w:sz w:val="24"/>
                <w:szCs w:val="24"/>
              </w:rPr>
              <w:t xml:space="preserve">Foundation</w:t>
            </w:r>
          </w:p>
        </w:tc>
        <w:tc>
          <w:tcPr>
            <w:tcW w:type="dxa" w:w="2360"/>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vAlign w:val="center"/>
          </w:tcPr>
          <w:p>
            <w:pPr>
              <w:spacing w:before="0" w:after="0"/>
              <w:jc w:val="right"/>
            </w:pPr>
            <w:r>
              <w:rPr>
                <w:rFonts w:ascii="Arial" w:cs="Arial" w:eastAsia="Arial" w:hAnsi="Arial"/>
                <w:color w:val="DDDDDD"/>
                <w:sz w:val="20"/>
                <w:szCs w:val="20"/>
              </w:rPr>
              <w:t xml:space="preserve">Now — Month 3</w:t>
            </w:r>
          </w:p>
        </w:tc>
      </w:tr>
    </w:tbl>
    <w:p>
      <w:pPr>
        <w:spacing w:before="200" w:after="200"/>
      </w:pPr>
      <w:r>
        <w:t xml:space="preserve"/>
      </w:r>
    </w:p>
    <w:p>
      <w:pPr>
        <w:spacing w:before="60" w:after="100"/>
      </w:pPr>
      <w:r>
        <w:rPr>
          <w:rFonts w:ascii="Arial" w:cs="Arial" w:eastAsia="Arial" w:hAnsi="Arial"/>
          <w:color w:val="444444"/>
          <w:sz w:val="22"/>
          <w:szCs w:val="22"/>
        </w:rPr>
        <w:t xml:space="preserve">These actions cost almost nothing and unlock everything else. Do them in parallel, do them now.</w:t>
      </w:r>
    </w:p>
    <w:p>
      <w:pPr>
        <w:spacing w:before="200" w:after="80"/>
      </w:pPr>
      <w:r>
        <w:rPr>
          <w:rFonts w:ascii="Arial" w:cs="Arial" w:eastAsia="Arial" w:hAnsi="Arial"/>
          <w:b/>
          <w:bCs/>
          <w:color w:val="1B3A6B"/>
          <w:sz w:val="22"/>
          <w:szCs w:val="22"/>
        </w:rPr>
        <w:t xml:space="preserve">IP and Legal</w:t>
      </w:r>
    </w:p>
    <w:p>
      <w:pPr>
        <w:pStyle w:val="ListParagraph"/>
        <w:numPr>
          <w:ilvl w:val="0"/>
          <w:numId w:val="2"/>
        </w:numPr>
        <w:spacing w:before="40" w:after="40"/>
      </w:pPr>
      <w:r>
        <w:rPr>
          <w:rFonts w:ascii="Arial" w:cs="Arial" w:eastAsia="Arial" w:hAnsi="Arial"/>
          <w:color w:val="444444"/>
          <w:sz w:val="22"/>
          <w:szCs w:val="22"/>
        </w:rPr>
        <w:t xml:space="preserve">Ensure IP assignment agreements exist for all work created to date. Acquirers kill deals over messy IP provenance.</w:t>
      </w:r>
    </w:p>
    <w:p>
      <w:pPr>
        <w:pStyle w:val="ListParagraph"/>
        <w:numPr>
          <w:ilvl w:val="0"/>
          <w:numId w:val="2"/>
        </w:numPr>
        <w:spacing w:before="40" w:after="40"/>
      </w:pPr>
      <w:r>
        <w:rPr>
          <w:rFonts w:ascii="Arial" w:cs="Arial" w:eastAsia="Arial" w:hAnsi="Arial"/>
          <w:color w:val="444444"/>
          <w:sz w:val="22"/>
          <w:szCs w:val="22"/>
        </w:rPr>
        <w:t xml:space="preserve">File a provisional patent on the specific architecture: differentiable CA fire simulation self-correcting against distributed phone barometric pressure via mesh, with pre-trained regional surrogates on-device. This combination is novel. A provisional costs a few hundred dollars in filing fees plus attorney time and starts the patent clock.</w:t>
      </w:r>
    </w:p>
    <w:p>
      <w:pPr>
        <w:pStyle w:val="ListParagraph"/>
        <w:numPr>
          <w:ilvl w:val="0"/>
          <w:numId w:val="2"/>
        </w:numPr>
        <w:spacing w:before="40" w:after="40"/>
      </w:pPr>
      <w:r>
        <w:rPr>
          <w:rFonts w:ascii="Arial" w:cs="Arial" w:eastAsia="Arial" w:hAnsi="Arial"/>
          <w:color w:val="444444"/>
          <w:sz w:val="22"/>
          <w:szCs w:val="22"/>
        </w:rPr>
        <w:t xml:space="preserve">Confirm clean cap table and contractor agreements before anyone else touches the codebase.</w:t>
      </w:r>
    </w:p>
    <w:p>
      <w:pPr>
        <w:spacing w:before="200" w:after="80"/>
      </w:pPr>
      <w:r>
        <w:rPr>
          <w:rFonts w:ascii="Arial" w:cs="Arial" w:eastAsia="Arial" w:hAnsi="Arial"/>
          <w:b/>
          <w:bCs/>
          <w:color w:val="1B3A6B"/>
          <w:sz w:val="22"/>
          <w:szCs w:val="22"/>
        </w:rPr>
        <w:t xml:space="preserve">Programs to Apply For This Week</w:t>
      </w:r>
    </w:p>
    <w:p>
      <w:pPr>
        <w:pStyle w:val="ListParagraph"/>
        <w:numPr>
          <w:ilvl w:val="0"/>
          <w:numId w:val="2"/>
        </w:numPr>
        <w:spacing w:before="40" w:after="40"/>
      </w:pPr>
      <w:r>
        <w:rPr>
          <w:rFonts w:ascii="Arial" w:cs="Arial" w:eastAsia="Arial" w:hAnsi="Arial"/>
          <w:color w:val="444444"/>
          <w:sz w:val="22"/>
          <w:szCs w:val="22"/>
        </w:rPr>
        <w:t xml:space="preserve">NVIDIA Inception — nvidia.com/en-us/startups. Free. Immediate GPU compute benefits.</w:t>
      </w:r>
    </w:p>
    <w:p>
      <w:pPr>
        <w:pStyle w:val="ListParagraph"/>
        <w:numPr>
          <w:ilvl w:val="0"/>
          <w:numId w:val="2"/>
        </w:numPr>
        <w:spacing w:before="40" w:after="40"/>
      </w:pPr>
      <w:r>
        <w:rPr>
          <w:rFonts w:ascii="Arial" w:cs="Arial" w:eastAsia="Arial" w:hAnsi="Arial"/>
          <w:color w:val="444444"/>
          <w:sz w:val="22"/>
          <w:szCs w:val="22"/>
        </w:rPr>
        <w:t xml:space="preserve">AWS Activate (accessible through Inception) — $25K–$100K in cloud credits.</w:t>
      </w:r>
    </w:p>
    <w:p>
      <w:pPr>
        <w:pStyle w:val="ListParagraph"/>
        <w:numPr>
          <w:ilvl w:val="0"/>
          <w:numId w:val="2"/>
        </w:numPr>
        <w:spacing w:before="40" w:after="40"/>
      </w:pPr>
      <w:r>
        <w:rPr>
          <w:rFonts w:ascii="Arial" w:cs="Arial" w:eastAsia="Arial" w:hAnsi="Arial"/>
          <w:color w:val="444444"/>
          <w:sz w:val="22"/>
          <w:szCs w:val="22"/>
        </w:rPr>
        <w:t xml:space="preserve">Microsoft for Startups — Azure credits, accessible via NVIDIA Inception membership.</w:t>
      </w:r>
    </w:p>
    <w:p>
      <w:pPr>
        <w:spacing w:before="200" w:after="80"/>
      </w:pPr>
      <w:r>
        <w:rPr>
          <w:rFonts w:ascii="Arial" w:cs="Arial" w:eastAsia="Arial" w:hAnsi="Arial"/>
          <w:b/>
          <w:bCs/>
          <w:color w:val="1B3A6B"/>
          <w:sz w:val="22"/>
          <w:szCs w:val="22"/>
        </w:rPr>
        <w:t xml:space="preserve">SAM.gov</w:t>
      </w:r>
    </w:p>
    <w:p>
      <w:pPr>
        <w:pStyle w:val="ListParagraph"/>
        <w:numPr>
          <w:ilvl w:val="0"/>
          <w:numId w:val="2"/>
        </w:numPr>
        <w:spacing w:before="40" w:after="40"/>
      </w:pPr>
      <w:r>
        <w:rPr>
          <w:rFonts w:ascii="Arial" w:cs="Arial" w:eastAsia="Arial" w:hAnsi="Arial"/>
          <w:color w:val="444444"/>
          <w:sz w:val="22"/>
          <w:szCs w:val="22"/>
        </w:rPr>
        <w:t xml:space="preserve">Verify NAICS codes include: 541512 (computer systems design), 541519 (other computer related services), 541690 (other scientific and technical consulting).</w:t>
      </w:r>
    </w:p>
    <w:p>
      <w:pPr>
        <w:pStyle w:val="ListParagraph"/>
        <w:numPr>
          <w:ilvl w:val="0"/>
          <w:numId w:val="2"/>
        </w:numPr>
        <w:spacing w:before="40" w:after="40"/>
      </w:pPr>
      <w:r>
        <w:rPr>
          <w:rFonts w:ascii="Arial" w:cs="Arial" w:eastAsia="Arial" w:hAnsi="Arial"/>
          <w:color w:val="444444"/>
          <w:sz w:val="22"/>
          <w:szCs w:val="22"/>
        </w:rPr>
        <w:t xml:space="preserve">These codes determine which SBIR solicitations you appear eligible for.</w:t>
      </w:r>
    </w:p>
    <w:p>
      <w:pPr>
        <w:spacing w:before="200" w:after="80"/>
      </w:pPr>
      <w:r>
        <w:rPr>
          <w:rFonts w:ascii="Arial" w:cs="Arial" w:eastAsia="Arial" w:hAnsi="Arial"/>
          <w:b/>
          <w:bCs/>
          <w:color w:val="1B3A6B"/>
          <w:sz w:val="22"/>
          <w:szCs w:val="22"/>
        </w:rPr>
        <w:t xml:space="preserve">Prescribed Burn Partnership</w:t>
      </w:r>
    </w:p>
    <w:p>
      <w:pPr>
        <w:pStyle w:val="ListParagraph"/>
        <w:numPr>
          <w:ilvl w:val="0"/>
          <w:numId w:val="2"/>
        </w:numPr>
        <w:spacing w:before="40" w:after="40"/>
      </w:pPr>
      <w:r>
        <w:rPr>
          <w:rFonts w:ascii="Arial" w:cs="Arial" w:eastAsia="Arial" w:hAnsi="Arial"/>
          <w:color w:val="444444"/>
          <w:sz w:val="22"/>
          <w:szCs w:val="22"/>
        </w:rPr>
        <w:t xml:space="preserve">Identify two or three CAL FIRE units with active prescribed burn programs: Marin County, Santa Barbara, Ventura are strong candidates.</w:t>
      </w:r>
    </w:p>
    <w:p>
      <w:pPr>
        <w:pStyle w:val="ListParagraph"/>
        <w:numPr>
          <w:ilvl w:val="0"/>
          <w:numId w:val="2"/>
        </w:numPr>
        <w:spacing w:before="40" w:after="40"/>
      </w:pPr>
      <w:r>
        <w:rPr>
          <w:rFonts w:ascii="Arial" w:cs="Arial" w:eastAsia="Arial" w:hAnsi="Arial"/>
          <w:color w:val="444444"/>
          <w:sz w:val="22"/>
          <w:szCs w:val="22"/>
        </w:rPr>
        <w:t xml:space="preserve">Draft a one-page partnership proposal: you instrument their planned burns with phones running your SDK, you share the validation data with them. You are offering them something valuable — better fire behavior data on their own burns — not asking for a favor.</w:t>
      </w:r>
    </w:p>
    <w:p>
      <w:pPr>
        <w:pStyle w:val="ListParagraph"/>
        <w:numPr>
          <w:ilvl w:val="0"/>
          <w:numId w:val="2"/>
        </w:numPr>
        <w:spacing w:before="40" w:after="40"/>
      </w:pPr>
      <w:r>
        <w:rPr>
          <w:rFonts w:ascii="Arial" w:cs="Arial" w:eastAsia="Arial" w:hAnsi="Arial"/>
          <w:color w:val="444444"/>
          <w:sz w:val="22"/>
          <w:szCs w:val="22"/>
        </w:rPr>
        <w:t xml:space="preserve">Make the call this week. Burn season timing matters and relationships take time.</w:t>
      </w:r>
    </w:p>
    <w:p>
      <w:pP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D7377" w:val="clear"/>
            <w:tcMar>
              <w:top w:type="dxa" w:w="160"/>
              <w:left w:type="dxa" w:w="200"/>
              <w:bottom w:type="dxa" w:w="160"/>
              <w:right w:type="dxa" w:w="200"/>
            </w:tcMar>
          </w:tcPr>
          <w:p>
            <w:pPr>
              <w:spacing w:before="0" w:after="0"/>
            </w:pPr>
            <w:r>
              <w:rPr>
                <w:rFonts w:ascii="Arial" w:cs="Arial" w:eastAsia="Arial" w:hAnsi="Arial"/>
                <w:b/>
                <w:bCs/>
                <w:color w:val="AADDDD"/>
                <w:sz w:val="20"/>
                <w:szCs w:val="20"/>
              </w:rPr>
              <w:t xml:space="preserve">PHASE 1  </w:t>
            </w:r>
            <w:r>
              <w:rPr>
                <w:rFonts w:ascii="Arial" w:cs="Arial" w:eastAsia="Arial" w:hAnsi="Arial"/>
                <w:b/>
                <w:bCs/>
                <w:color w:val="FFFFFF"/>
                <w:sz w:val="24"/>
                <w:szCs w:val="24"/>
              </w:rPr>
              <w:t xml:space="preserve">Proof of Concept</w:t>
            </w:r>
          </w:p>
        </w:tc>
        <w:tc>
          <w:tcPr>
            <w:tcW w:type="dxa" w:w="2360"/>
            <w:tcBorders>
              <w:top w:val="none" w:color="FFFFFF" w:sz="0"/>
              <w:left w:val="none" w:color="FFFFFF" w:sz="0"/>
              <w:bottom w:val="none" w:color="FFFFFF" w:sz="0"/>
              <w:right w:val="none" w:color="FFFFFF" w:sz="0"/>
            </w:tcBorders>
            <w:shd w:fill="0D7377" w:val="clear"/>
            <w:tcMar>
              <w:top w:type="dxa" w:w="160"/>
              <w:left w:type="dxa" w:w="200"/>
              <w:bottom w:type="dxa" w:w="160"/>
              <w:right w:type="dxa" w:w="200"/>
            </w:tcMar>
            <w:vAlign w:val="center"/>
          </w:tcPr>
          <w:p>
            <w:pPr>
              <w:spacing w:before="0" w:after="0"/>
              <w:jc w:val="right"/>
            </w:pPr>
            <w:r>
              <w:rPr>
                <w:rFonts w:ascii="Arial" w:cs="Arial" w:eastAsia="Arial" w:hAnsi="Arial"/>
                <w:color w:val="DDDDDD"/>
                <w:sz w:val="20"/>
                <w:szCs w:val="20"/>
              </w:rPr>
              <w:t xml:space="preserve">Months 1–9</w:t>
            </w:r>
          </w:p>
        </w:tc>
      </w:tr>
    </w:tbl>
    <w:p>
      <w:pPr>
        <w:spacing w:before="200" w:after="200"/>
      </w:pPr>
      <w:r>
        <w:t xml:space="preserve"/>
      </w:r>
    </w:p>
    <w:p>
      <w:pPr>
        <w:spacing w:before="60" w:after="100"/>
      </w:pPr>
      <w:r>
        <w:rPr>
          <w:rFonts w:ascii="Arial" w:cs="Arial" w:eastAsia="Arial" w:hAnsi="Arial"/>
          <w:color w:val="444444"/>
          <w:sz w:val="22"/>
          <w:szCs w:val="22"/>
        </w:rPr>
        <w:t xml:space="preserve">Goal: produce a working sensor detection demonstration and one real agency relationship. Nothing else matters until both exist.</w:t>
      </w:r>
    </w:p>
    <w:p>
      <w:pPr>
        <w:spacing w:before="200" w:after="80"/>
      </w:pPr>
      <w:r>
        <w:rPr>
          <w:rFonts w:ascii="Arial" w:cs="Arial" w:eastAsia="Arial" w:hAnsi="Arial"/>
          <w:b/>
          <w:bCs/>
          <w:color w:val="1B3A6B"/>
          <w:sz w:val="22"/>
          <w:szCs w:val="22"/>
        </w:rPr>
        <w:t xml:space="preserve">Build the Sensor Network SDK First</w:t>
      </w:r>
    </w:p>
    <w:p>
      <w:pPr>
        <w:pStyle w:val="ListParagraph"/>
        <w:numPr>
          <w:ilvl w:val="0"/>
          <w:numId w:val="2"/>
        </w:numPr>
        <w:spacing w:before="40" w:after="40"/>
      </w:pPr>
      <w:r>
        <w:rPr>
          <w:rFonts w:ascii="Arial" w:cs="Arial" w:eastAsia="Arial" w:hAnsi="Arial"/>
          <w:color w:val="444444"/>
          <w:sz w:val="22"/>
          <w:szCs w:val="22"/>
        </w:rPr>
        <w:t xml:space="preserve">Not the consumer app. Build a lightweight background data collection SDK that runs on volunteer phones, feeds pressure and accelerometer data to a server, and runs anomaly detection algorithms.</w:t>
      </w:r>
    </w:p>
    <w:p>
      <w:pPr>
        <w:pStyle w:val="ListParagraph"/>
        <w:numPr>
          <w:ilvl w:val="0"/>
          <w:numId w:val="2"/>
        </w:numPr>
        <w:spacing w:before="40" w:after="40"/>
      </w:pPr>
      <w:r>
        <w:rPr>
          <w:rFonts w:ascii="Arial" w:cs="Arial" w:eastAsia="Arial" w:hAnsi="Arial"/>
          <w:color w:val="444444"/>
          <w:sz w:val="22"/>
          <w:szCs w:val="22"/>
        </w:rPr>
        <w:t xml:space="preserve">Deploy on 50–100 volunteer phones in fire-prone communities with explicit opt-in.</w:t>
      </w:r>
    </w:p>
    <w:p>
      <w:pPr>
        <w:pStyle w:val="ListParagraph"/>
        <w:numPr>
          <w:ilvl w:val="0"/>
          <w:numId w:val="2"/>
        </w:numPr>
        <w:spacing w:before="40" w:after="40"/>
      </w:pPr>
      <w:r>
        <w:rPr>
          <w:rFonts w:ascii="Arial" w:cs="Arial" w:eastAsia="Arial" w:hAnsi="Arial"/>
          <w:color w:val="444444"/>
          <w:sz w:val="22"/>
          <w:szCs w:val="22"/>
        </w:rPr>
        <w:t xml:space="preserve">Target: 8–12 weeks of focused engineering. No polished UI required. A working SDK and a data dashboard is the milestone.</w:t>
      </w:r>
    </w:p>
    <w:p>
      <w:pPr>
        <w:spacing w:before="200" w:after="80"/>
      </w:pPr>
      <w:r>
        <w:rPr>
          <w:rFonts w:ascii="Arial" w:cs="Arial" w:eastAsia="Arial" w:hAnsi="Arial"/>
          <w:b/>
          <w:bCs/>
          <w:color w:val="1B3A6B"/>
          <w:sz w:val="22"/>
          <w:szCs w:val="22"/>
        </w:rPr>
        <w:t xml:space="preserve">Instrument One Prescribed Burn</w:t>
      </w:r>
    </w:p>
    <w:p>
      <w:pPr>
        <w:pStyle w:val="ListParagraph"/>
        <w:numPr>
          <w:ilvl w:val="0"/>
          <w:numId w:val="2"/>
        </w:numPr>
        <w:spacing w:before="40" w:after="40"/>
      </w:pPr>
      <w:r>
        <w:rPr>
          <w:rFonts w:ascii="Arial" w:cs="Arial" w:eastAsia="Arial" w:hAnsi="Arial"/>
          <w:color w:val="444444"/>
          <w:sz w:val="22"/>
          <w:szCs w:val="22"/>
        </w:rPr>
        <w:t xml:space="preserve">Deploy 20–30 SDK-running phones at various distances from the burn perimeter.</w:t>
      </w:r>
    </w:p>
    <w:p>
      <w:pPr>
        <w:pStyle w:val="ListParagraph"/>
        <w:numPr>
          <w:ilvl w:val="0"/>
          <w:numId w:val="2"/>
        </w:numPr>
        <w:spacing w:before="40" w:after="40"/>
      </w:pPr>
      <w:r>
        <w:rPr>
          <w:rFonts w:ascii="Arial" w:cs="Arial" w:eastAsia="Arial" w:hAnsi="Arial"/>
          <w:color w:val="444444"/>
          <w:sz w:val="22"/>
          <w:szCs w:val="22"/>
        </w:rPr>
        <w:t xml:space="preserve">Capture pressure, temperature, accelerometer, and GPS data throughout the burn.</w:t>
      </w:r>
    </w:p>
    <w:p>
      <w:pPr>
        <w:pStyle w:val="ListParagraph"/>
        <w:numPr>
          <w:ilvl w:val="0"/>
          <w:numId w:val="2"/>
        </w:numPr>
        <w:spacing w:before="40" w:after="40"/>
      </w:pPr>
      <w:r>
        <w:rPr>
          <w:rFonts w:ascii="Arial" w:cs="Arial" w:eastAsia="Arial" w:hAnsi="Arial"/>
          <w:color w:val="444444"/>
          <w:sz w:val="22"/>
          <w:szCs w:val="22"/>
        </w:rPr>
        <w:t xml:space="preserve">Compare pressure anomaly detection timing against observable fire behavior and any nearby RAWS stations.</w:t>
      </w:r>
    </w:p>
    <w:p>
      <w:pPr>
        <w:pStyle w:val="ListParagraph"/>
        <w:numPr>
          <w:ilvl w:val="0"/>
          <w:numId w:val="2"/>
        </w:numPr>
        <w:spacing w:before="40" w:after="40"/>
      </w:pPr>
      <w:r>
        <w:rPr>
          <w:rFonts w:ascii="Arial" w:cs="Arial" w:eastAsia="Arial" w:hAnsi="Arial"/>
          <w:color w:val="444444"/>
          <w:sz w:val="22"/>
          <w:szCs w:val="22"/>
        </w:rPr>
        <w:t xml:space="preserve">Produce a 10-page validation report. This is worth more than 100 pages of architecture documentation in every subsequent conversation.</w:t>
      </w:r>
    </w:p>
    <w:p>
      <w:pPr>
        <w:spacing w:before="200" w:after="80"/>
      </w:pPr>
      <w:r>
        <w:rPr>
          <w:rFonts w:ascii="Arial" w:cs="Arial" w:eastAsia="Arial" w:hAnsi="Arial"/>
          <w:b/>
          <w:bCs/>
          <w:color w:val="1B3A6B"/>
          <w:sz w:val="22"/>
          <w:szCs w:val="22"/>
        </w:rPr>
        <w:t xml:space="preserve">First Agency Conversation</w:t>
      </w:r>
    </w:p>
    <w:p>
      <w:pPr>
        <w:pStyle w:val="ListParagraph"/>
        <w:numPr>
          <w:ilvl w:val="0"/>
          <w:numId w:val="2"/>
        </w:numPr>
        <w:spacing w:before="40" w:after="40"/>
      </w:pPr>
      <w:r>
        <w:rPr>
          <w:rFonts w:ascii="Arial" w:cs="Arial" w:eastAsia="Arial" w:hAnsi="Arial"/>
          <w:color w:val="444444"/>
          <w:sz w:val="22"/>
          <w:szCs w:val="22"/>
        </w:rPr>
        <w:t xml:space="preserve">Bring the prescribed burn validation results to the county emergency manager in your pilot geography.</w:t>
      </w:r>
    </w:p>
    <w:p>
      <w:pPr>
        <w:pStyle w:val="ListParagraph"/>
        <w:numPr>
          <w:ilvl w:val="0"/>
          <w:numId w:val="2"/>
        </w:numPr>
        <w:spacing w:before="40" w:after="40"/>
      </w:pPr>
      <w:r>
        <w:rPr>
          <w:rFonts w:ascii="Arial" w:cs="Arial" w:eastAsia="Arial" w:hAnsi="Arial"/>
          <w:color w:val="444444"/>
          <w:sz w:val="22"/>
          <w:szCs w:val="22"/>
        </w:rPr>
        <w:t xml:space="preserve">Ask two questions only: what does your current situational awareness look like during a fire event, and what would be most valuable to you that you don’t currently have.</w:t>
      </w:r>
    </w:p>
    <w:p>
      <w:pPr>
        <w:pStyle w:val="ListParagraph"/>
        <w:numPr>
          <w:ilvl w:val="0"/>
          <w:numId w:val="2"/>
        </w:numPr>
        <w:spacing w:before="40" w:after="40"/>
      </w:pPr>
      <w:r>
        <w:rPr>
          <w:rFonts w:ascii="Arial" w:cs="Arial" w:eastAsia="Arial" w:hAnsi="Arial"/>
          <w:color w:val="444444"/>
          <w:sz w:val="22"/>
          <w:szCs w:val="22"/>
        </w:rPr>
        <w:t xml:space="preserve">Listen more than you talk. This conversation tells you exactly what to build for the EMS tier and begins the relationship that can become a contract.</w:t>
      </w:r>
    </w:p>
    <w:p>
      <w:pPr>
        <w:spacing w:before="200" w:after="80"/>
      </w:pPr>
      <w:r>
        <w:rPr>
          <w:rFonts w:ascii="Arial" w:cs="Arial" w:eastAsia="Arial" w:hAnsi="Arial"/>
          <w:b/>
          <w:bCs/>
          <w:color w:val="1B3A6B"/>
          <w:sz w:val="22"/>
          <w:szCs w:val="22"/>
        </w:rPr>
        <w:t xml:space="preserve">SBIR Application</w:t>
      </w:r>
    </w:p>
    <w:p>
      <w:pPr>
        <w:pStyle w:val="ListParagraph"/>
        <w:numPr>
          <w:ilvl w:val="0"/>
          <w:numId w:val="2"/>
        </w:numPr>
        <w:spacing w:before="40" w:after="40"/>
      </w:pPr>
      <w:r>
        <w:rPr>
          <w:rFonts w:ascii="Arial" w:cs="Arial" w:eastAsia="Arial" w:hAnsi="Arial"/>
          <w:color w:val="444444"/>
          <w:sz w:val="22"/>
          <w:szCs w:val="22"/>
        </w:rPr>
        <w:t xml:space="preserve">Target NSF America’s Seed Fund for first application — lightest deliverable requirements, broadest topic scope.</w:t>
      </w:r>
    </w:p>
    <w:p>
      <w:pPr>
        <w:pStyle w:val="ListParagraph"/>
        <w:numPr>
          <w:ilvl w:val="0"/>
          <w:numId w:val="2"/>
        </w:numPr>
        <w:spacing w:before="40" w:after="40"/>
      </w:pPr>
      <w:r>
        <w:rPr>
          <w:rFonts w:ascii="Arial" w:cs="Arial" w:eastAsia="Arial" w:hAnsi="Arial"/>
          <w:color w:val="444444"/>
          <w:sz w:val="22"/>
          <w:szCs w:val="22"/>
        </w:rPr>
        <w:t xml:space="preserve">Build the application around your prescribed burn validation results as preliminary evidence.</w:t>
      </w:r>
    </w:p>
    <w:p>
      <w:pPr>
        <w:pStyle w:val="ListParagraph"/>
        <w:numPr>
          <w:ilvl w:val="0"/>
          <w:numId w:val="2"/>
        </w:numPr>
        <w:spacing w:before="40" w:after="40"/>
      </w:pPr>
      <w:r>
        <w:rPr>
          <w:rFonts w:ascii="Arial" w:cs="Arial" w:eastAsia="Arial" w:hAnsi="Arial"/>
          <w:color w:val="444444"/>
          <w:sz w:val="22"/>
          <w:szCs w:val="22"/>
        </w:rPr>
        <w:t xml:space="preserve">Simultaneously watch DHS Science &amp; Technology and Air Force AFWERX solicitation windows.</w:t>
      </w:r>
    </w:p>
    <w:p>
      <w:pPr>
        <w:pStyle w:val="ListParagraph"/>
        <w:numPr>
          <w:ilvl w:val="0"/>
          <w:numId w:val="2"/>
        </w:numPr>
        <w:spacing w:before="40" w:after="40"/>
      </w:pPr>
      <w:r>
        <w:rPr>
          <w:rFonts w:ascii="Arial" w:cs="Arial" w:eastAsia="Arial" w:hAnsi="Arial"/>
          <w:color w:val="444444"/>
          <w:sz w:val="22"/>
          <w:szCs w:val="22"/>
        </w:rPr>
        <w:t xml:space="preserve">Begin drafting 4–6 weeks before the solicitation deadline. Applications require that investment of time to be competitive.</w:t>
      </w:r>
    </w:p>
    <w:p>
      <w:pP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0D5F6B" w:val="clear"/>
            <w:tcMar>
              <w:top w:type="dxa" w:w="160"/>
              <w:left w:type="dxa" w:w="200"/>
              <w:bottom w:type="dxa" w:w="160"/>
              <w:right w:type="dxa" w:w="200"/>
            </w:tcMar>
          </w:tcPr>
          <w:p>
            <w:pPr>
              <w:spacing w:before="0" w:after="0"/>
            </w:pPr>
            <w:r>
              <w:rPr>
                <w:rFonts w:ascii="Arial" w:cs="Arial" w:eastAsia="Arial" w:hAnsi="Arial"/>
                <w:b/>
                <w:bCs/>
                <w:color w:val="AADDDD"/>
                <w:sz w:val="20"/>
                <w:szCs w:val="20"/>
              </w:rPr>
              <w:t xml:space="preserve">PHASE 2  </w:t>
            </w:r>
            <w:r>
              <w:rPr>
                <w:rFonts w:ascii="Arial" w:cs="Arial" w:eastAsia="Arial" w:hAnsi="Arial"/>
                <w:b/>
                <w:bCs/>
                <w:color w:val="FFFFFF"/>
                <w:sz w:val="24"/>
                <w:szCs w:val="24"/>
              </w:rPr>
              <w:t xml:space="preserve">First Contracts</w:t>
            </w:r>
          </w:p>
        </w:tc>
        <w:tc>
          <w:tcPr>
            <w:tcW w:type="dxa" w:w="2360"/>
            <w:tcBorders>
              <w:top w:val="none" w:color="FFFFFF" w:sz="0"/>
              <w:left w:val="none" w:color="FFFFFF" w:sz="0"/>
              <w:bottom w:val="none" w:color="FFFFFF" w:sz="0"/>
              <w:right w:val="none" w:color="FFFFFF" w:sz="0"/>
            </w:tcBorders>
            <w:shd w:fill="0D5F6B" w:val="clear"/>
            <w:tcMar>
              <w:top w:type="dxa" w:w="160"/>
              <w:left w:type="dxa" w:w="200"/>
              <w:bottom w:type="dxa" w:w="160"/>
              <w:right w:type="dxa" w:w="200"/>
            </w:tcMar>
            <w:vAlign w:val="center"/>
          </w:tcPr>
          <w:p>
            <w:pPr>
              <w:spacing w:before="0" w:after="0"/>
              <w:jc w:val="right"/>
            </w:pPr>
            <w:r>
              <w:rPr>
                <w:rFonts w:ascii="Arial" w:cs="Arial" w:eastAsia="Arial" w:hAnsi="Arial"/>
                <w:color w:val="DDDDDD"/>
                <w:sz w:val="20"/>
                <w:szCs w:val="20"/>
              </w:rPr>
              <w:t xml:space="preserve">Months 6–18</w:t>
            </w:r>
          </w:p>
        </w:tc>
      </w:tr>
    </w:tbl>
    <w:p>
      <w:pPr>
        <w:spacing w:before="200" w:after="200"/>
      </w:pPr>
      <w:r>
        <w:t xml:space="preserve"/>
      </w:r>
    </w:p>
    <w:p>
      <w:pPr>
        <w:spacing w:before="60" w:after="100"/>
      </w:pPr>
      <w:r>
        <w:rPr>
          <w:rFonts w:ascii="Arial" w:cs="Arial" w:eastAsia="Arial" w:hAnsi="Arial"/>
          <w:color w:val="444444"/>
          <w:sz w:val="22"/>
          <w:szCs w:val="22"/>
        </w:rPr>
        <w:t xml:space="preserve">Goal: revenue and validation simultaneously. Not large revenue — enough to demonstrate commercial viability to acquirers.</w:t>
      </w:r>
    </w:p>
    <w:p>
      <w:pPr>
        <w:spacing w:before="200" w:after="80"/>
      </w:pPr>
      <w:r>
        <w:rPr>
          <w:rFonts w:ascii="Arial" w:cs="Arial" w:eastAsia="Arial" w:hAnsi="Arial"/>
          <w:b/>
          <w:bCs/>
          <w:color w:val="1B3A6B"/>
          <w:sz w:val="22"/>
          <w:szCs w:val="22"/>
        </w:rPr>
        <w:t xml:space="preserve">Convert One County Relationship to Paid Pilot</w:t>
      </w:r>
    </w:p>
    <w:p>
      <w:pPr>
        <w:pStyle w:val="ListParagraph"/>
        <w:numPr>
          <w:ilvl w:val="0"/>
          <w:numId w:val="2"/>
        </w:numPr>
        <w:spacing w:before="40" w:after="40"/>
      </w:pPr>
      <w:r>
        <w:rPr>
          <w:rFonts w:ascii="Arial" w:cs="Arial" w:eastAsia="Arial" w:hAnsi="Arial"/>
          <w:color w:val="444444"/>
          <w:sz w:val="22"/>
          <w:szCs w:val="22"/>
        </w:rPr>
        <w:t xml:space="preserve">Propose a structured paid pilot to the most engaged county emergency management office after burn validation results exist.</w:t>
      </w:r>
    </w:p>
    <w:p>
      <w:pPr>
        <w:pStyle w:val="ListParagraph"/>
        <w:numPr>
          <w:ilvl w:val="0"/>
          <w:numId w:val="2"/>
        </w:numPr>
        <w:spacing w:before="40" w:after="40"/>
      </w:pPr>
      <w:r>
        <w:rPr>
          <w:rFonts w:ascii="Arial" w:cs="Arial" w:eastAsia="Arial" w:hAnsi="Arial"/>
          <w:color w:val="444444"/>
          <w:sz w:val="22"/>
          <w:szCs w:val="22"/>
        </w:rPr>
        <w:t xml:space="preserve">Scope: Beacon EMS dashboard deployed for the fire department during fire season, with documented comparison against existing tools.</w:t>
      </w:r>
    </w:p>
    <w:p>
      <w:pPr>
        <w:pStyle w:val="ListParagraph"/>
        <w:numPr>
          <w:ilvl w:val="0"/>
          <w:numId w:val="2"/>
        </w:numPr>
        <w:spacing w:before="40" w:after="40"/>
      </w:pPr>
      <w:r>
        <w:rPr>
          <w:rFonts w:ascii="Arial" w:cs="Arial" w:eastAsia="Arial" w:hAnsi="Arial"/>
          <w:color w:val="444444"/>
          <w:sz w:val="22"/>
          <w:szCs w:val="22"/>
        </w:rPr>
        <w:t xml:space="preserve">Price at cost-recovery level — $50K–$150K. The signed government contract is the proof point, not the revenue.</w:t>
      </w:r>
    </w:p>
    <w:p>
      <w:pPr>
        <w:spacing w:before="200" w:after="80"/>
      </w:pPr>
      <w:r>
        <w:rPr>
          <w:rFonts w:ascii="Arial" w:cs="Arial" w:eastAsia="Arial" w:hAnsi="Arial"/>
          <w:b/>
          <w:bCs/>
          <w:color w:val="1B3A6B"/>
          <w:sz w:val="22"/>
          <w:szCs w:val="22"/>
        </w:rPr>
        <w:t xml:space="preserve">Build the Consumer App for the Pilot Geography</w:t>
      </w:r>
    </w:p>
    <w:p>
      <w:pPr>
        <w:pStyle w:val="ListParagraph"/>
        <w:numPr>
          <w:ilvl w:val="0"/>
          <w:numId w:val="2"/>
        </w:numPr>
        <w:spacing w:before="40" w:after="40"/>
      </w:pPr>
      <w:r>
        <w:rPr>
          <w:rFonts w:ascii="Arial" w:cs="Arial" w:eastAsia="Arial" w:hAnsi="Arial"/>
          <w:color w:val="444444"/>
          <w:sz w:val="22"/>
          <w:szCs w:val="22"/>
        </w:rPr>
        <w:t xml:space="preserve">Not nationally. Not statewide. Build for the specific county where your pilot is running.</w:t>
      </w:r>
    </w:p>
    <w:p>
      <w:pPr>
        <w:pStyle w:val="ListParagraph"/>
        <w:numPr>
          <w:ilvl w:val="0"/>
          <w:numId w:val="2"/>
        </w:numPr>
        <w:spacing w:before="40" w:after="40"/>
      </w:pPr>
      <w:r>
        <w:rPr>
          <w:rFonts w:ascii="Arial" w:cs="Arial" w:eastAsia="Arial" w:hAnsi="Arial"/>
          <w:color w:val="444444"/>
          <w:sz w:val="22"/>
          <w:szCs w:val="22"/>
        </w:rPr>
        <w:t xml:space="preserve">Launch with the county’s explicit endorsement — they tell their residents, which solves initial distribution.</w:t>
      </w:r>
    </w:p>
    <w:p>
      <w:pPr>
        <w:pStyle w:val="ListParagraph"/>
        <w:numPr>
          <w:ilvl w:val="0"/>
          <w:numId w:val="2"/>
        </w:numPr>
        <w:spacing w:before="40" w:after="40"/>
      </w:pPr>
      <w:r>
        <w:rPr>
          <w:rFonts w:ascii="Arial" w:cs="Arial" w:eastAsia="Arial" w:hAnsi="Arial"/>
          <w:color w:val="444444"/>
          <w:sz w:val="22"/>
          <w:szCs w:val="22"/>
        </w:rPr>
        <w:t xml:space="preserve">Target 5,000–10,000 active users in the pilot geography. Achievable with county backing because fire-prone communities are highly motivated.</w:t>
      </w:r>
    </w:p>
    <w:p>
      <w:pPr>
        <w:spacing w:before="200" w:after="80"/>
      </w:pPr>
      <w:r>
        <w:rPr>
          <w:rFonts w:ascii="Arial" w:cs="Arial" w:eastAsia="Arial" w:hAnsi="Arial"/>
          <w:b/>
          <w:bCs/>
          <w:color w:val="1B3A6B"/>
          <w:sz w:val="22"/>
          <w:szCs w:val="22"/>
        </w:rPr>
        <w:t xml:space="preserve">Reinsurance Data Licensing Conversation</w:t>
      </w:r>
    </w:p>
    <w:p>
      <w:pPr>
        <w:pStyle w:val="ListParagraph"/>
        <w:numPr>
          <w:ilvl w:val="0"/>
          <w:numId w:val="2"/>
        </w:numPr>
        <w:spacing w:before="40" w:after="40"/>
      </w:pPr>
      <w:r>
        <w:rPr>
          <w:rFonts w:ascii="Arial" w:cs="Arial" w:eastAsia="Arial" w:hAnsi="Arial"/>
          <w:color w:val="444444"/>
          <w:sz w:val="22"/>
          <w:szCs w:val="22"/>
        </w:rPr>
        <w:t xml:space="preserve">By month 12, if burn validation and pilot data are producing meaningful prediction results, initiate conversations with Verisk and one large reinsurer.</w:t>
      </w:r>
    </w:p>
    <w:p>
      <w:pPr>
        <w:pStyle w:val="ListParagraph"/>
        <w:numPr>
          <w:ilvl w:val="0"/>
          <w:numId w:val="2"/>
        </w:numPr>
        <w:spacing w:before="40" w:after="40"/>
      </w:pPr>
      <w:r>
        <w:rPr>
          <w:rFonts w:ascii="Arial" w:cs="Arial" w:eastAsia="Arial" w:hAnsi="Arial"/>
          <w:color w:val="444444"/>
          <w:sz w:val="22"/>
          <w:szCs w:val="22"/>
        </w:rPr>
        <w:t xml:space="preserve">Structure as a research partnership initially: they pay a modest fee for access to model outputs, provide feedback that improves your models.</w:t>
      </w:r>
    </w:p>
    <w:p>
      <w:pPr>
        <w:pStyle w:val="ListParagraph"/>
        <w:numPr>
          <w:ilvl w:val="0"/>
          <w:numId w:val="2"/>
        </w:numPr>
        <w:spacing w:before="40" w:after="40"/>
      </w:pPr>
      <w:r>
        <w:rPr>
          <w:rFonts w:ascii="Arial" w:cs="Arial" w:eastAsia="Arial" w:hAnsi="Arial"/>
          <w:color w:val="444444"/>
          <w:sz w:val="22"/>
          <w:szCs w:val="22"/>
        </w:rPr>
        <w:t xml:space="preserve">This establishes commercial value for the data asset without requiring enterprise sales infrastructure.</w:t>
      </w:r>
    </w:p>
    <w:p>
      <w:pPr>
        <w:spacing w:before="200" w:after="80"/>
      </w:pPr>
      <w:r>
        <w:rPr>
          <w:rFonts w:ascii="Arial" w:cs="Arial" w:eastAsia="Arial" w:hAnsi="Arial"/>
          <w:b/>
          <w:bCs/>
          <w:color w:val="1B3A6B"/>
          <w:sz w:val="22"/>
          <w:szCs w:val="22"/>
        </w:rPr>
        <w:t xml:space="preserve">Flash Flood Module</w:t>
      </w:r>
    </w:p>
    <w:p>
      <w:pPr>
        <w:pStyle w:val="ListParagraph"/>
        <w:numPr>
          <w:ilvl w:val="0"/>
          <w:numId w:val="2"/>
        </w:numPr>
        <w:spacing w:before="40" w:after="40"/>
      </w:pPr>
      <w:r>
        <w:rPr>
          <w:rFonts w:ascii="Arial" w:cs="Arial" w:eastAsia="Arial" w:hAnsi="Arial"/>
          <w:color w:val="444444"/>
          <w:sz w:val="22"/>
          <w:szCs w:val="22"/>
        </w:rPr>
        <w:t xml:space="preserve">Begin development in parallel with wildfire pilot. The terrain, sensor, and mesh stack is nearly identical.</w:t>
      </w:r>
    </w:p>
    <w:p>
      <w:pPr>
        <w:pStyle w:val="ListParagraph"/>
        <w:numPr>
          <w:ilvl w:val="0"/>
          <w:numId w:val="2"/>
        </w:numPr>
        <w:spacing w:before="40" w:after="40"/>
      </w:pPr>
      <w:r>
        <w:rPr>
          <w:rFonts w:ascii="Arial" w:cs="Arial" w:eastAsia="Arial" w:hAnsi="Arial"/>
          <w:color w:val="444444"/>
          <w:sz w:val="22"/>
          <w:szCs w:val="22"/>
        </w:rPr>
        <w:t xml:space="preserve">Target Texas as the deployment geography — Camp Mystic created political urgency and procurement opportunity that is open now and will not stay open indefinitely.</w:t>
      </w:r>
    </w:p>
    <w:p>
      <w:pPr>
        <w:pStyle w:val="ListParagraph"/>
        <w:numPr>
          <w:ilvl w:val="0"/>
          <w:numId w:val="2"/>
        </w:numPr>
        <w:spacing w:before="40" w:after="40"/>
      </w:pPr>
      <w:r>
        <w:rPr>
          <w:rFonts w:ascii="Arial" w:cs="Arial" w:eastAsia="Arial" w:hAnsi="Arial"/>
          <w:color w:val="444444"/>
          <w:sz w:val="22"/>
          <w:szCs w:val="22"/>
        </w:rPr>
        <w:t xml:space="preserve">A Texas flash flood contract alongside California wildfire establishes the multi-hazard platform story for every subsequent acquisition conversation.</w:t>
      </w:r>
    </w:p>
    <w:p>
      <w:pPr>
        <w:spacing w:before="200" w:after="80"/>
      </w:pPr>
      <w:r>
        <w:rPr>
          <w:rFonts w:ascii="Arial" w:cs="Arial" w:eastAsia="Arial" w:hAnsi="Arial"/>
          <w:b/>
          <w:bCs/>
          <w:color w:val="1B3A6B"/>
          <w:sz w:val="22"/>
          <w:szCs w:val="22"/>
        </w:rPr>
        <w:t xml:space="preserve">Japan Outreach</w:t>
      </w:r>
    </w:p>
    <w:p>
      <w:pPr>
        <w:pStyle w:val="ListParagraph"/>
        <w:numPr>
          <w:ilvl w:val="0"/>
          <w:numId w:val="2"/>
        </w:numPr>
        <w:spacing w:before="40" w:after="40"/>
      </w:pPr>
      <w:r>
        <w:rPr>
          <w:rFonts w:ascii="Arial" w:cs="Arial" w:eastAsia="Arial" w:hAnsi="Arial"/>
          <w:color w:val="444444"/>
          <w:sz w:val="22"/>
          <w:szCs w:val="22"/>
        </w:rPr>
        <w:t xml:space="preserve">Identify the specific prefecture or agency with the most acute last-mile communication gap from the 2024 Noto earthquake.</w:t>
      </w:r>
    </w:p>
    <w:p>
      <w:pPr>
        <w:pStyle w:val="ListParagraph"/>
        <w:numPr>
          <w:ilvl w:val="0"/>
          <w:numId w:val="2"/>
        </w:numPr>
        <w:spacing w:before="40" w:after="40"/>
      </w:pPr>
      <w:r>
        <w:rPr>
          <w:rFonts w:ascii="Arial" w:cs="Arial" w:eastAsia="Arial" w:hAnsi="Arial"/>
          <w:color w:val="444444"/>
          <w:sz w:val="22"/>
          <w:szCs w:val="22"/>
        </w:rPr>
        <w:t xml:space="preserve">Make an introductory approach through the Japan Bosai Platform — a public-private consortium with over 100 members specifically designed for this kind of technology partnership.</w:t>
      </w:r>
    </w:p>
    <w:p>
      <w:pPr>
        <w:pStyle w:val="ListParagraph"/>
        <w:numPr>
          <w:ilvl w:val="0"/>
          <w:numId w:val="2"/>
        </w:numPr>
        <w:spacing w:before="40" w:after="40"/>
      </w:pPr>
      <w:r>
        <w:rPr>
          <w:rFonts w:ascii="Arial" w:cs="Arial" w:eastAsia="Arial" w:hAnsi="Arial"/>
          <w:color w:val="444444"/>
          <w:sz w:val="22"/>
          <w:szCs w:val="22"/>
        </w:rPr>
        <w:t xml:space="preserve">You are not pitching a product. You are sharing validation results and asking if a small research partnership would be of interest. Japanese relationships are slow to build and durable once established.</w:t>
      </w:r>
    </w:p>
    <w:p>
      <w:pP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shd w:fill="C45911" w:val="clear"/>
            <w:tcMar>
              <w:top w:type="dxa" w:w="160"/>
              <w:left w:type="dxa" w:w="200"/>
              <w:bottom w:type="dxa" w:w="160"/>
              <w:right w:type="dxa" w:w="200"/>
            </w:tcMar>
          </w:tcPr>
          <w:p>
            <w:pPr>
              <w:spacing w:before="0" w:after="0"/>
            </w:pPr>
            <w:r>
              <w:rPr>
                <w:rFonts w:ascii="Arial" w:cs="Arial" w:eastAsia="Arial" w:hAnsi="Arial"/>
                <w:b/>
                <w:bCs/>
                <w:color w:val="AADDDD"/>
                <w:sz w:val="20"/>
                <w:szCs w:val="20"/>
              </w:rPr>
              <w:t xml:space="preserve">PHASE 3  </w:t>
            </w:r>
            <w:r>
              <w:rPr>
                <w:rFonts w:ascii="Arial" w:cs="Arial" w:eastAsia="Arial" w:hAnsi="Arial"/>
                <w:b/>
                <w:bCs/>
                <w:color w:val="FFFFFF"/>
                <w:sz w:val="24"/>
                <w:szCs w:val="24"/>
              </w:rPr>
              <w:t xml:space="preserve">Scale &amp; Acquisition Positioning</w:t>
            </w:r>
          </w:p>
        </w:tc>
        <w:tc>
          <w:tcPr>
            <w:tcW w:type="dxa" w:w="2360"/>
            <w:tcBorders>
              <w:top w:val="none" w:color="FFFFFF" w:sz="0"/>
              <w:left w:val="none" w:color="FFFFFF" w:sz="0"/>
              <w:bottom w:val="none" w:color="FFFFFF" w:sz="0"/>
              <w:right w:val="none" w:color="FFFFFF" w:sz="0"/>
            </w:tcBorders>
            <w:shd w:fill="C45911" w:val="clear"/>
            <w:tcMar>
              <w:top w:type="dxa" w:w="160"/>
              <w:left w:type="dxa" w:w="200"/>
              <w:bottom w:type="dxa" w:w="160"/>
              <w:right w:type="dxa" w:w="200"/>
            </w:tcMar>
            <w:vAlign w:val="center"/>
          </w:tcPr>
          <w:p>
            <w:pPr>
              <w:spacing w:before="0" w:after="0"/>
              <w:jc w:val="right"/>
            </w:pPr>
            <w:r>
              <w:rPr>
                <w:rFonts w:ascii="Arial" w:cs="Arial" w:eastAsia="Arial" w:hAnsi="Arial"/>
                <w:color w:val="DDDDDD"/>
                <w:sz w:val="20"/>
                <w:szCs w:val="20"/>
              </w:rPr>
              <w:t xml:space="preserve">Months 18–36</w:t>
            </w:r>
          </w:p>
        </w:tc>
      </w:tr>
    </w:tbl>
    <w:p>
      <w:pPr>
        <w:spacing w:before="200" w:after="200"/>
      </w:pPr>
      <w:r>
        <w:t xml:space="preserve"/>
      </w:r>
    </w:p>
    <w:p>
      <w:pPr>
        <w:spacing w:before="60" w:after="100"/>
      </w:pPr>
      <w:r>
        <w:rPr>
          <w:rFonts w:ascii="Arial" w:cs="Arial" w:eastAsia="Arial" w:hAnsi="Arial"/>
          <w:color w:val="444444"/>
          <w:sz w:val="22"/>
          <w:szCs w:val="22"/>
        </w:rPr>
        <w:t xml:space="preserve">Goal: multiple simultaneous proof points across acquirer categories. Make the competitive acquisition process possible.</w:t>
      </w:r>
    </w:p>
    <w:p>
      <w:pPr>
        <w:spacing w:before="200" w:after="80"/>
      </w:pPr>
      <w:r>
        <w:rPr>
          <w:rFonts w:ascii="Arial" w:cs="Arial" w:eastAsia="Arial" w:hAnsi="Arial"/>
          <w:b/>
          <w:bCs/>
          <w:color w:val="1B3A6B"/>
          <w:sz w:val="22"/>
          <w:szCs w:val="22"/>
        </w:rPr>
        <w:t xml:space="preserve">Defense SBIR Track</w:t>
      </w:r>
    </w:p>
    <w:p>
      <w:pPr>
        <w:pStyle w:val="ListParagraph"/>
        <w:numPr>
          <w:ilvl w:val="0"/>
          <w:numId w:val="2"/>
        </w:numPr>
        <w:spacing w:before="40" w:after="40"/>
      </w:pPr>
      <w:r>
        <w:rPr>
          <w:rFonts w:ascii="Arial" w:cs="Arial" w:eastAsia="Arial" w:hAnsi="Arial"/>
          <w:color w:val="444444"/>
          <w:sz w:val="22"/>
          <w:szCs w:val="22"/>
        </w:rPr>
        <w:t xml:space="preserve">By this point your sensor data includes explosion signatures from industrial events, pressure anomalies, and seismic events in your coverage area.</w:t>
      </w:r>
    </w:p>
    <w:p>
      <w:pPr>
        <w:pStyle w:val="ListParagraph"/>
        <w:numPr>
          <w:ilvl w:val="0"/>
          <w:numId w:val="2"/>
        </w:numPr>
        <w:spacing w:before="40" w:after="40"/>
      </w:pPr>
      <w:r>
        <w:rPr>
          <w:rFonts w:ascii="Arial" w:cs="Arial" w:eastAsia="Arial" w:hAnsi="Arial"/>
          <w:color w:val="444444"/>
          <w:sz w:val="22"/>
          <w:szCs w:val="22"/>
        </w:rPr>
        <w:t xml:space="preserve">Structure a DHS or DARPA SBIR application around multi-modal sensor fusion for event detection and characterization.</w:t>
      </w:r>
    </w:p>
    <w:p>
      <w:pPr>
        <w:pStyle w:val="ListParagraph"/>
        <w:numPr>
          <w:ilvl w:val="0"/>
          <w:numId w:val="2"/>
        </w:numPr>
        <w:spacing w:before="40" w:after="40"/>
      </w:pPr>
      <w:r>
        <w:rPr>
          <w:rFonts w:ascii="Arial" w:cs="Arial" w:eastAsia="Arial" w:hAnsi="Arial"/>
          <w:color w:val="444444"/>
          <w:sz w:val="22"/>
          <w:szCs w:val="22"/>
        </w:rPr>
        <w:t xml:space="preserve">You are building a civilian sensor network with defense-applicable detection capability. The SBIR mechanism develops it with government funding rather than your own.</w:t>
      </w:r>
    </w:p>
    <w:p>
      <w:pPr>
        <w:pStyle w:val="ListParagraph"/>
        <w:numPr>
          <w:ilvl w:val="0"/>
          <w:numId w:val="2"/>
        </w:numPr>
        <w:spacing w:before="40" w:after="40"/>
      </w:pPr>
      <w:r>
        <w:rPr>
          <w:rFonts w:ascii="Arial" w:cs="Arial" w:eastAsia="Arial" w:hAnsi="Arial"/>
          <w:color w:val="444444"/>
          <w:sz w:val="22"/>
          <w:szCs w:val="22"/>
        </w:rPr>
        <w:t xml:space="preserve">Keep this work technically described, not publicly marketed. Surface in acquisition due diligence with defense-oriented buyers.</w:t>
      </w:r>
    </w:p>
    <w:p>
      <w:pPr>
        <w:spacing w:before="200" w:after="80"/>
      </w:pPr>
      <w:r>
        <w:rPr>
          <w:rFonts w:ascii="Arial" w:cs="Arial" w:eastAsia="Arial" w:hAnsi="Arial"/>
          <w:b/>
          <w:bCs/>
          <w:color w:val="1B3A6B"/>
          <w:sz w:val="22"/>
          <w:szCs w:val="22"/>
        </w:rPr>
        <w:t xml:space="preserve">Earthquake Module and Japan Contract</w:t>
      </w:r>
    </w:p>
    <w:p>
      <w:pPr>
        <w:pStyle w:val="ListParagraph"/>
        <w:numPr>
          <w:ilvl w:val="0"/>
          <w:numId w:val="2"/>
        </w:numPr>
        <w:spacing w:before="40" w:after="40"/>
      </w:pPr>
      <w:r>
        <w:rPr>
          <w:rFonts w:ascii="Arial" w:cs="Arial" w:eastAsia="Arial" w:hAnsi="Arial"/>
          <w:color w:val="444444"/>
          <w:sz w:val="22"/>
          <w:szCs w:val="22"/>
        </w:rPr>
        <w:t xml:space="preserve">The mesh networking and compound-hazard routing capability is the differentiator, not seismic detection.</w:t>
      </w:r>
    </w:p>
    <w:p>
      <w:pPr>
        <w:pStyle w:val="ListParagraph"/>
        <w:numPr>
          <w:ilvl w:val="0"/>
          <w:numId w:val="2"/>
        </w:numPr>
        <w:spacing w:before="40" w:after="40"/>
      </w:pPr>
      <w:r>
        <w:rPr>
          <w:rFonts w:ascii="Arial" w:cs="Arial" w:eastAsia="Arial" w:hAnsi="Arial"/>
          <w:color w:val="444444"/>
          <w:sz w:val="22"/>
          <w:szCs w:val="22"/>
        </w:rPr>
        <w:t xml:space="preserve">Target a formal data partnership or paid pilot with a Japanese prefecture or national agency.</w:t>
      </w:r>
    </w:p>
    <w:p>
      <w:pPr>
        <w:pStyle w:val="ListParagraph"/>
        <w:numPr>
          <w:ilvl w:val="0"/>
          <w:numId w:val="2"/>
        </w:numPr>
        <w:spacing w:before="40" w:after="40"/>
      </w:pPr>
      <w:r>
        <w:rPr>
          <w:rFonts w:ascii="Arial" w:cs="Arial" w:eastAsia="Arial" w:hAnsi="Arial"/>
          <w:color w:val="444444"/>
          <w:sz w:val="22"/>
          <w:szCs w:val="22"/>
        </w:rPr>
        <w:t xml:space="preserve">A signed Japanese government agreement elevates your valuation in every other acquisition conversation simultaneously.</w:t>
      </w:r>
    </w:p>
    <w:p>
      <w:pPr>
        <w:spacing w:before="200" w:after="80"/>
      </w:pPr>
      <w:r>
        <w:rPr>
          <w:rFonts w:ascii="Arial" w:cs="Arial" w:eastAsia="Arial" w:hAnsi="Arial"/>
          <w:b/>
          <w:bCs/>
          <w:color w:val="1B3A6B"/>
          <w:sz w:val="22"/>
          <w:szCs w:val="22"/>
        </w:rPr>
        <w:t xml:space="preserve">Initiate the Competitive Acquisition Process</w:t>
      </w:r>
    </w:p>
    <w:p>
      <w:pPr>
        <w:pStyle w:val="ListParagraph"/>
        <w:numPr>
          <w:ilvl w:val="0"/>
          <w:numId w:val="2"/>
        </w:numPr>
        <w:spacing w:before="40" w:after="40"/>
      </w:pPr>
      <w:r>
        <w:rPr>
          <w:rFonts w:ascii="Arial" w:cs="Arial" w:eastAsia="Arial" w:hAnsi="Arial"/>
          <w:color w:val="444444"/>
          <w:sz w:val="22"/>
          <w:szCs w:val="22"/>
        </w:rPr>
        <w:t xml:space="preserve">With two or more agency contracts, one reinsurance data licensing deal, and one SBIR award, engage an investment banker specializing in government technology and data asset transactions.</w:t>
      </w:r>
    </w:p>
    <w:p>
      <w:pPr>
        <w:pStyle w:val="ListParagraph"/>
        <w:numPr>
          <w:ilvl w:val="0"/>
          <w:numId w:val="2"/>
        </w:numPr>
        <w:spacing w:before="40" w:after="40"/>
      </w:pPr>
      <w:r>
        <w:rPr>
          <w:rFonts w:ascii="Arial" w:cs="Arial" w:eastAsia="Arial" w:hAnsi="Arial"/>
          <w:color w:val="444444"/>
          <w:sz w:val="22"/>
          <w:szCs w:val="22"/>
        </w:rPr>
        <w:t xml:space="preserve">Run a structured process that puts Verisk, Palantir, Esri, and at least one defense prime in consideration simultaneously.</w:t>
      </w:r>
    </w:p>
    <w:p>
      <w:pPr>
        <w:pStyle w:val="ListParagraph"/>
        <w:numPr>
          <w:ilvl w:val="0"/>
          <w:numId w:val="2"/>
        </w:numPr>
        <w:spacing w:before="40" w:after="40"/>
      </w:pPr>
      <w:r>
        <w:rPr>
          <w:rFonts w:ascii="Arial" w:cs="Arial" w:eastAsia="Arial" w:hAnsi="Arial"/>
          <w:color w:val="444444"/>
          <w:sz w:val="22"/>
          <w:szCs w:val="22"/>
        </w:rPr>
        <w:t xml:space="preserve">The competitive tension between a defensive acquirer and a strategic acquirer drives price toward the number you want.</w:t>
      </w:r>
    </w:p>
    <w:p>
      <w:pPr>
        <w:pStyle w:val="ListParagraph"/>
        <w:numPr>
          <w:ilvl w:val="0"/>
          <w:numId w:val="2"/>
        </w:numPr>
        <w:spacing w:before="40" w:after="40"/>
      </w:pPr>
      <w:r>
        <w:rPr>
          <w:rFonts w:ascii="Arial" w:cs="Arial" w:eastAsia="Arial" w:hAnsi="Arial"/>
          <w:color w:val="444444"/>
          <w:sz w:val="22"/>
          <w:szCs w:val="22"/>
        </w:rPr>
        <w:t xml:space="preserve">Fight hardest for the user protection terms in the acquisition agreement, not just the price. The right acquirer accepts them because they understand why the consumer network is the asset.</w:t>
      </w:r>
    </w:p>
    <w:p>
      <w:pPr>
        <w:spacing w:before="200" w:after="200"/>
      </w:pPr>
      <w:r>
        <w:t xml:space="preserve"/>
      </w:r>
    </w:p>
    <w:p>
      <w:pPr>
        <w:pStyle w:val="Heading1"/>
        <w:pBdr>
          <w:bottom w:val="single" w:color="0D7377" w:sz="8" w:space="4"/>
        </w:pBdr>
        <w:spacing w:before="400" w:after="160"/>
      </w:pPr>
      <w:r>
        <w:rPr>
          <w:rFonts w:ascii="Arial" w:cs="Arial" w:eastAsia="Arial" w:hAnsi="Arial"/>
          <w:b/>
          <w:bCs/>
          <w:color w:val="1B3A6B"/>
          <w:sz w:val="28"/>
          <w:szCs w:val="28"/>
        </w:rPr>
        <w:t xml:space="preserve">Timeline &amp; Financial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6F4F5" w:val="clear"/>
            <w:tcMar>
              <w:top w:type="dxa" w:w="80"/>
              <w:left w:type="dxa" w:w="120"/>
              <w:bottom w:type="dxa" w:w="80"/>
              <w:right w:type="dxa" w:w="120"/>
            </w:tcMar>
          </w:tcPr>
          <w:p>
            <w:pPr>
              <w:spacing w:before="0" w:after="0"/>
            </w:pPr>
            <w:r>
              <w:rPr>
                <w:rFonts w:ascii="Arial" w:cs="Arial" w:eastAsia="Arial" w:hAnsi="Arial"/>
                <w:b/>
                <w:bCs/>
                <w:color w:val="1B3A6B"/>
                <w:sz w:val="21"/>
                <w:szCs w:val="21"/>
              </w:rPr>
              <w:t xml:space="preserve">Period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1"/>
                <w:szCs w:val="21"/>
              </w:rPr>
              <w:t xml:space="preserve">Milestone &amp; Financial Target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B3A6B"/>
                <w:sz w:val="21"/>
                <w:szCs w:val="21"/>
              </w:rPr>
              <w:t xml:space="preserve">Months 0–3</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444444"/>
                <w:sz w:val="21"/>
                <w:szCs w:val="21"/>
              </w:rPr>
              <w:t xml:space="preserve">NVIDIA Inception approved. Provisional patent filed. Prescribed burn partnership initiated. SAM.gov codes verified. SBIR application in draft.</w:t>
            </w:r>
          </w:p>
        </w:tc>
      </w:tr>
      <w:tr>
        <w:tc>
          <w:tcPr>
            <w:tcW w:type="dxa" w:w="2400"/>
            <w:tcBorders>
              <w:top w:val="single" w:color="CCCCCC" w:sz="1"/>
              <w:left w:val="single" w:color="CCCCCC" w:sz="1"/>
              <w:bottom w:val="single" w:color="CCCCCC" w:sz="1"/>
              <w:right w:val="single" w:color="CCCCCC" w:sz="1"/>
            </w:tcBorders>
            <w:shd w:fill="E6F4F5" w:val="clear"/>
            <w:tcMar>
              <w:top w:type="dxa" w:w="80"/>
              <w:left w:type="dxa" w:w="120"/>
              <w:bottom w:type="dxa" w:w="80"/>
              <w:right w:type="dxa" w:w="120"/>
            </w:tcMar>
          </w:tcPr>
          <w:p>
            <w:pPr>
              <w:spacing w:before="0" w:after="0"/>
            </w:pPr>
            <w:r>
              <w:rPr>
                <w:rFonts w:ascii="Arial" w:cs="Arial" w:eastAsia="Arial" w:hAnsi="Arial"/>
                <w:b/>
                <w:bCs/>
                <w:color w:val="1B3A6B"/>
                <w:sz w:val="21"/>
                <w:szCs w:val="21"/>
              </w:rPr>
              <w:t xml:space="preserve">Months 3–9</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1"/>
                <w:szCs w:val="21"/>
              </w:rPr>
              <w:t xml:space="preserve">Prescribed burn validation complete. Sensor SDK deployed on 50–100 volunteer phones. First agency relationship initiated. SBIR Phase I application submitted.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B3A6B"/>
                <w:sz w:val="21"/>
                <w:szCs w:val="21"/>
              </w:rPr>
              <w:t xml:space="preserve">Months 6–12</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444444"/>
                <w:sz w:val="21"/>
                <w:szCs w:val="21"/>
              </w:rPr>
              <w:t xml:space="preserve">County pilot contract signed ($50K–$150K). Consumer app launched in pilot geography (5K–10K users). Reinsurance research partnership initiated. Flash flood module in development.</w:t>
            </w:r>
          </w:p>
        </w:tc>
      </w:tr>
      <w:tr>
        <w:tc>
          <w:tcPr>
            <w:tcW w:type="dxa" w:w="2400"/>
            <w:tcBorders>
              <w:top w:val="single" w:color="CCCCCC" w:sz="1"/>
              <w:left w:val="single" w:color="CCCCCC" w:sz="1"/>
              <w:bottom w:val="single" w:color="CCCCCC" w:sz="1"/>
              <w:right w:val="single" w:color="CCCCCC" w:sz="1"/>
            </w:tcBorders>
            <w:shd w:fill="E6F4F5" w:val="clear"/>
            <w:tcMar>
              <w:top w:type="dxa" w:w="80"/>
              <w:left w:type="dxa" w:w="120"/>
              <w:bottom w:type="dxa" w:w="80"/>
              <w:right w:type="dxa" w:w="120"/>
            </w:tcMar>
          </w:tcPr>
          <w:p>
            <w:pPr>
              <w:spacing w:before="0" w:after="0"/>
            </w:pPr>
            <w:r>
              <w:rPr>
                <w:rFonts w:ascii="Arial" w:cs="Arial" w:eastAsia="Arial" w:hAnsi="Arial"/>
                <w:b/>
                <w:bCs/>
                <w:color w:val="1B3A6B"/>
                <w:sz w:val="21"/>
                <w:szCs w:val="21"/>
              </w:rPr>
              <w:t xml:space="preserve">Months 12–18</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1"/>
                <w:szCs w:val="21"/>
              </w:rPr>
              <w:t xml:space="preserve">SBIR Phase I award received (~$300K). Reinsurance data licensing deal signed. Texas flash flood outreach initiated. Japan Bosai Platform relationship established.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B3A6B"/>
                <w:sz w:val="21"/>
                <w:szCs w:val="21"/>
              </w:rPr>
              <w:t xml:space="preserve">Months 18–24</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444444"/>
                <w:sz w:val="21"/>
                <w:szCs w:val="21"/>
              </w:rPr>
              <w:t xml:space="preserve">SBIR Phase II application. Texas state contract. Japan partnership formalized. Multi-hazard platform story complete. Annual revenue $2M–$5M.</w:t>
            </w:r>
          </w:p>
        </w:tc>
      </w:tr>
      <w:tr>
        <w:tc>
          <w:tcPr>
            <w:tcW w:type="dxa" w:w="2400"/>
            <w:tcBorders>
              <w:top w:val="single" w:color="CCCCCC" w:sz="1"/>
              <w:left w:val="single" w:color="CCCCCC" w:sz="1"/>
              <w:bottom w:val="single" w:color="CCCCCC" w:sz="1"/>
              <w:right w:val="single" w:color="CCCCCC" w:sz="1"/>
            </w:tcBorders>
            <w:shd w:fill="E6F4F5" w:val="clear"/>
            <w:tcMar>
              <w:top w:type="dxa" w:w="80"/>
              <w:left w:type="dxa" w:w="120"/>
              <w:bottom w:type="dxa" w:w="80"/>
              <w:right w:type="dxa" w:w="120"/>
            </w:tcMar>
          </w:tcPr>
          <w:p>
            <w:pPr>
              <w:spacing w:before="0" w:after="0"/>
            </w:pPr>
            <w:r>
              <w:rPr>
                <w:rFonts w:ascii="Arial" w:cs="Arial" w:eastAsia="Arial" w:hAnsi="Arial"/>
                <w:b/>
                <w:bCs/>
                <w:color w:val="1B3A6B"/>
                <w:sz w:val="21"/>
                <w:szCs w:val="21"/>
              </w:rPr>
              <w:t xml:space="preserve">Months 24–36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444444"/>
                <w:sz w:val="21"/>
                <w:szCs w:val="21"/>
              </w:rPr>
              <w:t xml:space="preserve">Defense SBIR application. Earthquake module deployed. Competitive acquisition process initiated with investment banker. Target acquisition close: month 36–42.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1B3A6B"/>
                <w:sz w:val="21"/>
                <w:szCs w:val="21"/>
              </w:rPr>
              <w:t xml:space="preserve">Acquisition Target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color w:val="444444"/>
                <w:sz w:val="21"/>
                <w:szCs w:val="21"/>
              </w:rPr>
              <w:t xml:space="preserve">$150M–$500M. High end requires Japan relationship and defense SBIR award, which put defense-oriented acquirers in the room alongside insurance/GIS acquirers.</w:t>
            </w:r>
          </w:p>
        </w:tc>
      </w:tr>
    </w:tbl>
    <w:p>
      <w:pP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4"/>
              <w:left w:val="thick" w:color="0D7377" w:sz="16"/>
              <w:bottom w:val="single" w:color="0D7377" w:sz="4"/>
              <w:right w:val="single" w:color="0D7377" w:sz="4"/>
            </w:tcBorders>
            <w:shd w:fill="E6F4F5" w:val="clear"/>
            <w:tcMar>
              <w:top w:type="dxa" w:w="120"/>
              <w:left w:type="dxa" w:w="200"/>
              <w:bottom w:type="dxa" w:w="120"/>
              <w:right w:type="dxa" w:w="200"/>
            </w:tcMar>
          </w:tcPr>
          <w:p>
            <w:pPr>
              <w:spacing w:before="0" w:after="0"/>
            </w:pPr>
            <w:r>
              <w:rPr>
                <w:rFonts w:ascii="Arial" w:cs="Arial" w:eastAsia="Arial" w:hAnsi="Arial"/>
                <w:i/>
                <w:iCs/>
                <w:color w:val="444444"/>
                <w:sz w:val="21"/>
                <w:szCs w:val="21"/>
              </w:rPr>
              <w:t xml:space="preserve">Funding strategy: self-funded or pre-seed through month 9. SBIR Phase I plus pilot contract revenue should cover operating costs through month 18. Raise a seed round only if SBIR and pilot revenue are insufficient — outside capital at this stage dilutes without changing the outcome if you sequence correctly.</w:t>
            </w:r>
          </w:p>
        </w:tc>
      </w:tr>
    </w:tbl>
    <w:p>
      <w:pPr>
        <w:spacing w:before="200" w:after="200"/>
      </w:pPr>
      <w:r>
        <w:t xml:space="preserve"/>
      </w:r>
    </w:p>
    <w:p>
      <w:pPr>
        <w:pStyle w:val="Heading1"/>
        <w:pBdr>
          <w:bottom w:val="single" w:color="0D7377" w:sz="8" w:space="4"/>
        </w:pBdr>
        <w:spacing w:before="400" w:after="160"/>
      </w:pPr>
      <w:r>
        <w:rPr>
          <w:rFonts w:ascii="Arial" w:cs="Arial" w:eastAsia="Arial" w:hAnsi="Arial"/>
          <w:b/>
          <w:bCs/>
          <w:color w:val="1B3A6B"/>
          <w:sz w:val="28"/>
          <w:szCs w:val="28"/>
        </w:rPr>
        <w:t xml:space="preserve">What To Do This Week</w:t>
      </w:r>
    </w:p>
    <w:p>
      <w:pPr>
        <w:spacing w:before="60" w:after="100"/>
      </w:pPr>
      <w:r>
        <w:rPr>
          <w:rFonts w:ascii="Arial" w:cs="Arial" w:eastAsia="Arial" w:hAnsi="Arial"/>
          <w:color w:val="444444"/>
          <w:sz w:val="22"/>
          <w:szCs w:val="22"/>
        </w:rPr>
        <w:t xml:space="preserve">Three actions, in order of importance. Everything else in the plan follows from these being in motion.</w:t>
      </w:r>
    </w:p>
    <w:p>
      <w:pPr>
        <w:pStyle w:val="ListParagraph"/>
        <w:numPr>
          <w:ilvl w:val="0"/>
          <w:numId w:val="3"/>
        </w:numPr>
        <w:spacing w:before="80" w:after="60"/>
      </w:pPr>
      <w:r>
        <w:rPr>
          <w:rFonts w:ascii="Arial" w:cs="Arial" w:eastAsia="Arial" w:hAnsi="Arial"/>
          <w:b/>
          <w:bCs/>
          <w:color w:val="1B3A6B"/>
          <w:sz w:val="22"/>
          <w:szCs w:val="22"/>
        </w:rPr>
        <w:t xml:space="preserve">Apply for NVIDIA Inception. </w:t>
      </w:r>
      <w:r>
        <w:rPr>
          <w:rFonts w:ascii="Arial" w:cs="Arial" w:eastAsia="Arial" w:hAnsi="Arial"/>
          <w:color w:val="444444"/>
          <w:sz w:val="22"/>
          <w:szCs w:val="22"/>
        </w:rPr>
        <w:t xml:space="preserve">nvidia.com/en-us/startups. Takes approximately one hour. GPU compute credits are immediately useful for surrogate training work already underway. There is no reason to wait.</w:t>
      </w:r>
    </w:p>
    <w:p>
      <w:pPr>
        <w:pStyle w:val="ListParagraph"/>
        <w:numPr>
          <w:ilvl w:val="0"/>
          <w:numId w:val="3"/>
        </w:numPr>
        <w:spacing w:before="80" w:after="60"/>
      </w:pPr>
      <w:r>
        <w:rPr>
          <w:rFonts w:ascii="Arial" w:cs="Arial" w:eastAsia="Arial" w:hAnsi="Arial"/>
          <w:b/>
          <w:bCs/>
          <w:color w:val="1B3A6B"/>
          <w:sz w:val="22"/>
          <w:szCs w:val="22"/>
        </w:rPr>
        <w:t xml:space="preserve">Identify and contact a prescribed burn partner. </w:t>
      </w:r>
      <w:r>
        <w:rPr>
          <w:rFonts w:ascii="Arial" w:cs="Arial" w:eastAsia="Arial" w:hAnsi="Arial"/>
          <w:color w:val="444444"/>
          <w:sz w:val="22"/>
          <w:szCs w:val="22"/>
        </w:rPr>
        <w:t xml:space="preserve">Find the CAL FIRE battalion chief or division chief managing prescribed burns in Marin, Santa Barbara, or Ventura County. Send a one-paragraph email proposing an instrumented burn partnership. This starts the validation clock. Nothing else in the plan moves as fast as it should until you have real fire data.</w:t>
      </w:r>
    </w:p>
    <w:p>
      <w:pPr>
        <w:pStyle w:val="ListParagraph"/>
        <w:numPr>
          <w:ilvl w:val="0"/>
          <w:numId w:val="3"/>
        </w:numPr>
        <w:spacing w:before="80" w:after="60"/>
      </w:pPr>
      <w:r>
        <w:rPr>
          <w:rFonts w:ascii="Arial" w:cs="Arial" w:eastAsia="Arial" w:hAnsi="Arial"/>
          <w:b/>
          <w:bCs/>
          <w:color w:val="1B3A6B"/>
          <w:sz w:val="22"/>
          <w:szCs w:val="22"/>
        </w:rPr>
        <w:t xml:space="preserve">Begin the SBIR application outline. </w:t>
      </w:r>
      <w:r>
        <w:rPr>
          <w:rFonts w:ascii="Arial" w:cs="Arial" w:eastAsia="Arial" w:hAnsi="Arial"/>
          <w:color w:val="444444"/>
          <w:sz w:val="22"/>
          <w:szCs w:val="22"/>
        </w:rPr>
        <w:t xml:space="preserve">The next NSF or DHS SBIR solicitation window is likely within 60–90 days. A competitive application takes 4–6 weeks to write well. Starting now means you hit the next window rather than waiting six months for the one after it.</w:t>
      </w:r>
    </w:p>
    <w:p>
      <w:pPr>
        <w:spacing w:before="200" w:after="200"/>
      </w:pPr>
      <w:r>
        <w:t xml:space="preserve"/>
      </w:r>
    </w:p>
    <w:p>
      <w:pPr>
        <w:pBdr>
          <w:top w:val="single" w:color="CCCCCC" w:sz="4" w:space="8"/>
        </w:pBdr>
        <w:spacing w:before="400" w:after="60"/>
        <w:jc w:val="center"/>
      </w:pPr>
      <w:r>
        <w:rPr>
          <w:rFonts w:ascii="Arial" w:cs="Arial" w:eastAsia="Arial" w:hAnsi="Arial"/>
          <w:color w:val="999999"/>
          <w:sz w:val="18"/>
          <w:szCs w:val="18"/>
        </w:rPr>
        <w:t xml:space="preserve">Mathison Technologies, Inc.  —  Confidential &amp; Proprietary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6B"/>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2026-03-13T00:57:37.961Z</dcterms:created>
  <dcterms:modified xsi:type="dcterms:W3CDTF">2026-03-13T00:57:37.961Z</dcterms:modified>
</cp:coreProperties>
</file>

<file path=docProps/custom.xml><?xml version="1.0" encoding="utf-8"?>
<Properties xmlns="http://schemas.openxmlformats.org/officeDocument/2006/custom-properties" xmlns:vt="http://schemas.openxmlformats.org/officeDocument/2006/docPropsVTypes"/>
</file>