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0"/>
      </w:pPr>
      <w:r>
        <w:rPr>
          <w:rFonts w:ascii="Arial" w:cs="Arial" w:eastAsia="Arial" w:hAnsi="Arial"/>
          <w:sz w:val="22"/>
          <w:szCs w:val="22"/>
        </w:rPr>
        <w:t xml:space="preserve"/>
      </w:r>
    </w:p>
    <w:p>
      <w:pPr>
        <w:spacing w:before="0" w:after="80"/>
        <w:jc w:val="center"/>
      </w:pPr>
      <w:r>
        <w:rPr>
          <w:rFonts w:ascii="Arial" w:cs="Arial" w:eastAsia="Arial" w:hAnsi="Arial"/>
          <w:b/>
          <w:bCs/>
          <w:color w:val="007B8A"/>
          <w:sz w:val="72"/>
          <w:szCs w:val="72"/>
        </w:rPr>
        <w:t xml:space="preserve">BEACON</w:t>
      </w:r>
    </w:p>
    <w:p>
      <w:pPr>
        <w:spacing w:before="0" w:after="120"/>
        <w:jc w:val="center"/>
      </w:pPr>
      <w:r>
        <w:rPr>
          <w:rFonts w:ascii="Arial" w:cs="Arial" w:eastAsia="Arial" w:hAnsi="Arial"/>
          <w:b/>
          <w:bCs/>
          <w:color w:val="1B2A4A"/>
          <w:sz w:val="36"/>
          <w:szCs w:val="36"/>
        </w:rPr>
        <w:t xml:space="preserve">Real-Time Wildfire Intelligence</w:t>
      </w:r>
    </w:p>
    <w:p>
      <w:pPr>
        <w:spacing w:before="0" w:after="200"/>
        <w:jc w:val="center"/>
      </w:pPr>
      <w:r>
        <w:rPr>
          <w:rFonts w:ascii="Arial" w:cs="Arial" w:eastAsia="Arial" w:hAnsi="Arial"/>
          <w:i/>
          <w:iCs/>
          <w:color w:val="444444"/>
          <w:sz w:val="24"/>
          <w:szCs w:val="24"/>
        </w:rPr>
        <w:t xml:space="preserve">The first platform to model residential fire spread, detect wind shifts before they reach crews, and operate when infrastructure fails.</w:t>
      </w:r>
    </w:p>
    <w:p>
      <w:pPr>
        <w:spacing w:before="0" w:after="480"/>
        <w:jc w:val="center"/>
      </w:pPr>
      <w:r>
        <w:rPr>
          <w:rFonts w:ascii="Arial" w:cs="Arial" w:eastAsia="Arial" w:hAnsi="Arial"/>
          <w:color w:val="CCCCCC"/>
          <w:sz w:val="22"/>
          <w:szCs w:val="22"/>
        </w:rPr>
        <w:t xml:space="preserve">System Architecture &amp; Technical Design</w:t>
      </w:r>
    </w:p>
    <w:tbl>
      <w:tblPr>
        <w:tblW w:type="dxa" w:w="9360"/>
        <w:tblBorders>
          <w:top w:val="single" w:color="D95F02" w:sz="1"/>
          <w:left w:val="single" w:color="D95F02" w:sz="12"/>
          <w:bottom w:val="single" w:color="D95F02" w:sz="1"/>
          <w:right w:val="single" w:color="D95F02"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0F4F6" w:val="clear"/>
            <w:tcMar>
              <w:top w:type="dxa" w:w="200"/>
              <w:left w:type="dxa" w:w="400"/>
              <w:bottom w:type="dxa" w:w="200"/>
              <w:right w:type="dxa" w:w="400"/>
            </w:tcMar>
          </w:tcPr>
          <w:p>
            <w:pPr>
              <w:spacing w:before="0" w:after="80"/>
              <w:jc w:val="center"/>
            </w:pPr>
            <w:r>
              <w:rPr>
                <w:rFonts w:ascii="Arial" w:cs="Arial" w:eastAsia="Arial" w:hAnsi="Arial"/>
                <w:b/>
                <w:bCs/>
                <w:color w:val="1B2A4A"/>
                <w:sz w:val="22"/>
                <w:szCs w:val="22"/>
              </w:rPr>
              <w:t xml:space="preserve">Mathison Technologies, Inc.</w:t>
            </w:r>
          </w:p>
          <w:p>
            <w:pPr>
              <w:spacing w:before="0" w:after="80"/>
              <w:jc w:val="center"/>
            </w:pPr>
            <w:r>
              <w:rPr>
                <w:rFonts w:ascii="Arial" w:cs="Arial" w:eastAsia="Arial" w:hAnsi="Arial"/>
                <w:color w:val="444444"/>
                <w:sz w:val="20"/>
                <w:szCs w:val="20"/>
              </w:rPr>
              <w:t xml:space="preserve">Women-Owned Small Business  |  Confidential &amp; Proprietary</w:t>
            </w:r>
          </w:p>
          <w:p>
            <w:pPr>
              <w:spacing w:before="0" w:after="0"/>
              <w:jc w:val="center"/>
            </w:pPr>
            <w:r>
              <w:rPr>
                <w:rFonts w:ascii="Arial" w:cs="Arial" w:eastAsia="Arial" w:hAnsi="Arial"/>
                <w:color w:val="444444"/>
                <w:sz w:val="20"/>
                <w:szCs w:val="20"/>
              </w:rPr>
              <w:t xml:space="preserve">Version 1.0  |  March 2026</w:t>
            </w:r>
          </w:p>
        </w:tc>
      </w:tr>
    </w:tbl>
    <w:p>
      <w:r>
        <w:br w:type="page"/>
      </w:r>
    </w:p>
    <w:p>
      <w:pPr>
        <w:pStyle w:val="Heading1"/>
      </w:pPr>
      <w:r>
        <w:t xml:space="preserve">1. The Problem: Why Existing Systems Fail</w:t>
      </w:r>
    </w:p>
    <w:p>
      <w:pPr>
        <w:pStyle w:val="Heading2"/>
      </w:pPr>
      <w:r>
        <w:t xml:space="preserve">Infrastructure Fails at the Worst Moment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Fire reporting platforms (Watch Duty, AlertWildfire, CAL FIRE incident pages) go unreachable when towers are overloaded or destroyed — the exact conditions of a major active fire</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Tower failure is not rare: 2018 Camp Fire — AT&amp;T lost 23 towers, Verizon 11, within hours; 2025 LA fires — widespread outages documented the first night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When infrastructure fails, every tool that depends on it goes dark — leaving civilians and crews with no information at the most dangerous moment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Beacon's mesh layer (see Beacon Mesh Architecture) keeps sensor collection, anomaly detection, and on-device fire display active through peer-to-peer relay with no towers</w:t>
      </w:r>
    </w:p>
    <w:p>
      <w:pPr>
        <w:spacing w:before="80" w:after="80"/>
      </w:pPr>
      <w:r>
        <w:t xml:space="preserve"/>
      </w:r>
    </w:p>
    <w:p>
      <w:pPr>
        <w:pStyle w:val="Heading2"/>
      </w:pPr>
      <w:r>
        <w:t xml:space="preserve">Existing Tools Show the Past, Not the Future</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All current public tools show where fire was — not where it is going</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Evacuation orders are issued by jurisdiction boundary, not fire behavior; orders routinely lag the fire front by 30-60 minutes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No existing tool produces a forward fire spread prediction at residential street resolution</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Wind shifts — the leading cause of firefighter entrapment — have no automated ground-level detection; RAWS covers ~1 station per 400 sq miles, 10-minute update cycle, no automated alerting</w:t>
      </w:r>
    </w:p>
    <w:p>
      <w:pPr>
        <w:spacing w:before="80" w:after="80"/>
      </w:pPr>
      <w:r>
        <w:t xml:space="preserve"/>
      </w:r>
    </w:p>
    <w:p>
      <w:pPr>
        <w:pStyle w:val="Heading2"/>
      </w:pPr>
      <w:r>
        <w:t xml:space="preserve">Existing Fire Simulators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FARSITE / FlamMap (USFS standard): expert-configured batch runs; simulations take minutes to hours; no live observation ingestion; wildland fuels only; no residential structure modeling</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ElmFire: same Eulerian level-set architecture as FARSITE; designed for pre-event planning; requires manual re-initialization to incorporate new observations; useful as an offline validation benchmark but too slow for operational life-safety use</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Phoenix RapidFire: faster than FARSITE, identical limitations — wildland only, no real-time calibration, no residential modeling</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WIFIRE / QUIC-Fire: research-grade CFD; high fidelity; computationally prohibitive for real-time deployment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WRF-SFIRE: coupled fire-atmosphere physics; hours per run even on HPC clusters; no real-time operational pathway</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All: no residential structure spread; no live sensor integration; no automated alerting; go dark when connectivity fails</w:t>
      </w:r>
    </w:p>
    <w:p>
      <w:pPr>
        <w:spacing w:before="80" w:after="80"/>
      </w:pPr>
      <w:r>
        <w:t xml:space="preserve"/>
      </w:r>
    </w:p>
    <w:p>
      <w:pPr>
        <w:pStyle w:val="Heading2"/>
      </w:pPr>
      <w:r>
        <w:t xml:space="preserve">PyTorchFire and the NVIDIA Surrogate: Gaps and Complementarity</w:t>
      </w:r>
    </w:p>
    <w:p>
      <w:pPr>
        <w:spacing w:before="80" w:after="80"/>
      </w:pPr>
      <w:r>
        <w:rPr>
          <w:rFonts w:ascii="Arial" w:cs="Arial" w:eastAsia="Arial" w:hAnsi="Arial"/>
          <w:color w:val="444444"/>
          <w:sz w:val="22"/>
          <w:szCs w:val="22"/>
        </w:rPr>
        <w:t xml:space="preserve">PyTorchFire (Xia and Cheng, 2025) is the first differentiable wildfire simulator. Traditional simulators are forward-only: configure inputs, run, get output. If the fire behaves differently, an expert manually reinitializes and reruns — a loop taking minutes to hours. PyTorchFire's differentiability allows the model to compute its own prediction error against incoming observations and adjust parameters automatically via gradient descent. It self-corrects against the real fire as it burns.</w:t>
      </w:r>
    </w:p>
    <w:p>
      <w:pPr>
        <w:spacing w:before="60" w:after="60"/>
      </w:pPr>
      <w:r>
        <w:t xml:space="preserve"/>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PyTorchFire alone: requires GPU server connectivity; useless when cell infrastructure fails; users see a stale, degrading display between server corrections</w:t>
      </w:r>
    </w:p>
    <w:p>
      <w:pPr>
        <w:spacing w:before="60" w:after="60"/>
      </w:pPr>
      <w:r>
        <w:t xml:space="preserve"/>
      </w:r>
    </w:p>
    <w:p>
      <w:pPr>
        <w:spacing w:before="80" w:after="80"/>
      </w:pPr>
      <w:r>
        <w:rPr>
          <w:rFonts w:ascii="Arial" w:cs="Arial" w:eastAsia="Arial" w:hAnsi="Arial"/>
          <w:color w:val="444444"/>
          <w:sz w:val="22"/>
          <w:szCs w:val="22"/>
        </w:rPr>
        <w:t xml:space="preserve">The NVIDIA PhysicsNeMo surrogate is a compressed neural approximation of fire behavior trained on PyTorchFire simulations. Built on Fourier Neural Operators (FNO/AFNO), it runs entirely on a user's phone CPU with no server or connectivity required — keeping fire display and routing live even for a user in a remote area with no cell service, no mesh neighbors, and no access to standard reporting channels.</w:t>
      </w:r>
    </w:p>
    <w:p>
      <w:pPr>
        <w:spacing w:before="60" w:after="60"/>
      </w:pPr>
      <w:r>
        <w:t xml:space="preserve"/>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NVIDIA surrogate alone: fixed weights after training; cannot self-correct against observations; drifts increasingly wrong as conditions diverge from training data</w:t>
      </w:r>
    </w:p>
    <w:p>
      <w:pPr>
        <w:spacing w:before="60" w:after="60"/>
      </w:pPr>
      <w:r>
        <w:t xml:space="preserve"/>
      </w:r>
    </w:p>
    <w:p>
      <w:pPr>
        <w:spacing w:before="80" w:after="80"/>
      </w:pPr>
      <w:r>
        <w:rPr>
          <w:rFonts w:ascii="Arial" w:cs="Arial" w:eastAsia="Arial" w:hAnsi="Arial"/>
          <w:color w:val="444444"/>
          <w:sz w:val="22"/>
          <w:szCs w:val="22"/>
        </w:rPr>
        <w:t xml:space="preserve">Together, each failure mode is the other's solution. PyTorchFire recalibrates server-side and pushes corrected weights to the surrogate. The surrogate runs on-device at all times — filling gaps between server corrections and operating with no degradation when connectivity fails entirely. The last weights PyTorchFire pushed become the surrogate's operating state until connectivity resumes.</w:t>
      </w:r>
    </w:p>
    <w:p>
      <w:pPr>
        <w:spacing w:before="80" w:after="80"/>
      </w:pPr>
      <w:r>
        <w:t xml:space="preserve"/>
      </w:r>
    </w:p>
    <w:p>
      <w:pPr>
        <w:pStyle w:val="Heading2"/>
      </w:pPr>
      <w:r>
        <w:t xml:space="preserve">What Made This Solution Possible Now</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Differentiable wildfire simulation: PyTorchFire (2025) introduced the first differentiable wildfire CA model — enabling real-time self-correction against live sensor data without expert re-initialization. No predecessor exists.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Neural operator surrogates: FNO/AFNO (2020-2022) made it possible to train neural networks that approximate physics simulations at a fraction of the compute cost — making on-device real-time fire modeling feasible for the first time</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Smartphone barometers at scale: pressure sensors became standard in flagship phones around 2013 and are now in the majority of active devices — the hardware substrate for a dense passive pressure network did not exist at scale before this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Mesh networking maturity: Bluetooth mesh now supports peer-to-peer sensor relay and local anomaly detection without infrastructure; reports from users in the field and passive sensor data propagate phone-to-phone; PyTorchFire weight updates flow outward across the mesh to devices that cannot reach the server; tower load during mass evacuation is distributed rather than concentrated</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Proprietary base map: convergence of USGS 3DEP LiDAR, computer vision over street-level imagery (building materials, roof type, fencing, decks, proximate vegetation), LiDAR canopy height models, LANDFIRE, and county assessor records — joined per-structure by AI — produces per-building ignitability attributes no individual dataset provides. PyTorchFire and the surrogate exist in other research contexts; without this data layer they cannot simulate how fire moves through a neighborhood</w:t>
      </w:r>
    </w:p>
    <w:p>
      <w:pPr>
        <w:spacing w:before="80" w:after="80"/>
      </w:pPr>
      <w:r>
        <w:t xml:space="preserve"/>
      </w:r>
    </w:p>
    <w:p>
      <w:pPr>
        <w:pStyle w:val="Heading2"/>
      </w:pPr>
      <w:r>
        <w:t xml:space="preserve">How Beacon Is Different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First platform to model residential structure-to-structure fire spread in real time, using per-building separation, CV-derived materials, LiDAR vegetation, and street topology</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Self-correcting simulation: PyTorchFire recalibrates continuously against satellite perimeters, user observations, and phone sensors via gradient descent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Connectivity-resilient: mesh keeps all capabilities active when cell infrastructure fails — the exact scenario where every existing tool degrades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Wind shift detection: phone pressure network triggers alerts in 25-90 seconds; 5-20 min ahead of synoptic shifts; 60-90 sec ahead of convective collapse where currently zero automated warning exists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Self-improving: each event refines regional surrogate accuracy; advantage compounds every fire season and cannot be replicated without Beacon's base map and observation history</w:t>
      </w:r>
    </w:p>
    <w:p>
      <w:pPr>
        <w:spacing w:before="160" w:after="0"/>
      </w:pPr>
      <w:r>
        <w:t xml:space="preserve"/>
      </w:r>
    </w:p>
    <w:p>
      <w:pPr>
        <w:pStyle w:val="Heading1"/>
      </w:pPr>
      <w:r>
        <w:t xml:space="preserve">2. System Overview</w:t>
      </w:r>
    </w:p>
    <w:p>
      <w:pPr>
        <w:spacing w:before="80" w:after="80"/>
      </w:pPr>
      <w:r>
        <w:rPr>
          <w:rFonts w:ascii="Arial" w:cs="Arial" w:eastAsia="Arial" w:hAnsi="Arial"/>
          <w:color w:val="444444"/>
          <w:sz w:val="22"/>
          <w:szCs w:val="22"/>
        </w:rPr>
        <w:t xml:space="preserve">Four integrated layers operate simultaneously during an active event, each at a distinct temporal and spatial scale.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Layer</w:t>
            </w:r>
          </w:p>
        </w:tc>
        <w:tc>
          <w:tcPr>
            <w:tcW w:type="dxa" w:w="1872"/>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Engine</w:t>
            </w:r>
          </w:p>
        </w:tc>
        <w:tc>
          <w:tcPr>
            <w:tcW w:type="dxa" w:w="1872"/>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Runs On</w:t>
            </w:r>
          </w:p>
        </w:tc>
        <w:tc>
          <w:tcPr>
            <w:tcW w:type="dxa" w:w="1872"/>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Update Cadence</w:t>
            </w:r>
          </w:p>
        </w:tc>
        <w:tc>
          <w:tcPr>
            <w:tcW w:type="dxa" w:w="1872"/>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Role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On-Device Offline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NVIDIA Surrogate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 device (CPU)</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Continuous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Fire display and routing with no connectivity</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Server-Side Real-Time</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PyTorchFire DCA</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GPU server</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Seconds to minutes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Authoritative fire lines, self-calibrating against observations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Pre-Event Regional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PyTorchFire + NVIDIA fine-tune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GPU server (scheduled)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Pre-computed per region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Neighborhood surrogate trained on base map</w:t>
            </w:r>
          </w:p>
        </w:tc>
      </w:tr>
      <w:tr>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Sensor Alerting</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Pressure anomaly detection</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Server + mesh</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Sub-90 seconds</w:t>
            </w:r>
          </w:p>
        </w:tc>
        <w:tc>
          <w:tcPr>
            <w:tcW w:type="dxa" w:w="1872"/>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Wind shift detection and life-safety alerts</w:t>
            </w:r>
          </w:p>
        </w:tc>
      </w:tr>
    </w:tbl>
    <w:p>
      <w:pPr>
        <w:spacing w:before="160" w:after="0"/>
      </w:pPr>
      <w:r>
        <w:t xml:space="preserve"/>
      </w:r>
    </w:p>
    <w:p>
      <w:pPr>
        <w:pStyle w:val="Heading1"/>
      </w:pPr>
      <w:r>
        <w:t xml:space="preserve">3. Proprietary Base Map</w:t>
      </w:r>
    </w:p>
    <w:p>
      <w:pPr>
        <w:spacing w:before="80" w:after="80"/>
      </w:pPr>
      <w:r>
        <w:rPr>
          <w:rFonts w:ascii="Arial" w:cs="Arial" w:eastAsia="Arial" w:hAnsi="Arial"/>
          <w:color w:val="444444"/>
          <w:sz w:val="22"/>
          <w:szCs w:val="22"/>
        </w:rPr>
        <w:t xml:space="preserve">The base map is Beacon's foundational data asset — the layer that enables residential fire spread modeling and is unavailable to any existing platform. Public data sources are joined per-structure by AI pipelines to produce ignitability attributes no individual source provides.</w:t>
      </w:r>
    </w:p>
    <w:p>
      <w:pPr>
        <w:spacing w:before="80" w:after="80"/>
      </w:pPr>
      <w:r>
        <w:t xml:space="preserve"/>
      </w:r>
    </w:p>
    <w:p>
      <w:pPr>
        <w:pStyle w:val="Heading2"/>
      </w:pPr>
      <w:r>
        <w:t xml:space="preserve">3.1 Wildland Data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NIFC / WFIGS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Active fire perimeters, near-real-time from incident reports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LANDFIRE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Vegetation fuel type, canopy cover, fuel moisture baseline</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NOAA HRRR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3km wind, temperature, humidity; hourly updates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USGS 3DEP LiDAR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DEM, DSM, slope, aspect at 1m resolution</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WUI Boundaries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SILVIS Lab wildland-urban interface classification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MTBS Fire History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Historical perimeters and burn severity back to 1984</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FIRMS / VIIRS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NASA satellite hotspot detections, multiple daily updates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AirNow</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Real-time AQI and smoke density</w:t>
            </w:r>
          </w:p>
        </w:tc>
      </w:tr>
    </w:tbl>
    <w:p>
      <w:pPr>
        <w:spacing w:before="120" w:after="80"/>
      </w:pPr>
      <w:r>
        <w:t xml:space="preserve"/>
      </w:r>
    </w:p>
    <w:p>
      <w:pPr>
        <w:pStyle w:val="Heading2"/>
      </w:pPr>
      <w:r>
        <w:t xml:space="preserve">3.2 Residential Data Layers</w:t>
      </w:r>
    </w:p>
    <w:p>
      <w:pPr>
        <w:spacing w:before="80" w:after="80"/>
      </w:pPr>
      <w:r>
        <w:rPr>
          <w:rFonts w:ascii="Arial" w:cs="Arial" w:eastAsia="Arial" w:hAnsi="Arial"/>
          <w:color w:val="444444"/>
          <w:sz w:val="22"/>
          <w:szCs w:val="22"/>
        </w:rPr>
        <w:t xml:space="preserve">Computed from multiple joined sources and stored as per-structure attributes. No existing fire model uses these inputs.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Building Footprints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Microsoft and OSM footprint polygons — base geometry for all per-structure computation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Structure Separation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Nearest-neighbor distance to adjacent structures, all directions, within 200ft. Stored as per-building directional attribute (N, NE, E, SE, S, SW, W, NW). Primary driver of structure-to-structure ignition probability.</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Roof Material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CV-extracted from street-level imagery (metal/tile = low, asphalt = moderate, wood shake = high), validated against assessor records and building age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Wall / Cladding Material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CV-extracted from street-level imagery (stucco, wood siding, vinyl, masonry). Combined with roof material to produce structure ignitability score.</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Proximate Vegetation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Tree, shrub, and ground cover type, density, and proximity from LiDAR canopy height models and aerial multispectral imagery — within ember cast range of each 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Nearest Wildland Edge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Distance to nearest LANDFIRE vegetation cell — primary wildland-to-structure ignition pathway</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Flammable Accumulation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Fencing, deck presence, accessory structure proximity from CV and LiDAR — ember ignition pathways all existing models ignore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Building Age / Era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County assessor records — construction era proxy for materials and fire code compliance; pre-1990 California structures predate current defensible space codes</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Road Network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OSM road widths, turn restrictions, bridge classifications, dead-ends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Parcel Data</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Assessor parcel boundaries, structure counts, occupancy types</w:t>
            </w:r>
          </w:p>
        </w:tc>
      </w:tr>
    </w:tbl>
    <w:p>
      <w:pPr>
        <w:spacing w:before="120" w:after="80"/>
      </w:pPr>
      <w:r>
        <w:t xml:space="preserve"/>
      </w:r>
    </w:p>
    <w:p>
      <w:pPr>
        <w:pStyle w:val="Heading2"/>
      </w:pPr>
      <w:r>
        <w:t xml:space="preserve">3.3 Structure Separation</w:t>
      </w:r>
    </w:p>
    <w:p>
      <w:pPr>
        <w:spacing w:before="80" w:after="80"/>
      </w:pPr>
      <w:r>
        <w:rPr>
          <w:rFonts w:ascii="Arial" w:cs="Arial" w:eastAsia="Arial" w:hAnsi="Arial"/>
          <w:color w:val="444444"/>
          <w:sz w:val="22"/>
          <w:szCs w:val="22"/>
        </w:rPr>
        <w:t xml:space="preserve">The primary driver of residential fire spread — absent from every existing operational fire model.</w:t>
      </w:r>
    </w:p>
    <w:p>
      <w:pPr>
        <w:spacing w:before="60" w:after="60"/>
      </w:pPr>
      <w:r>
        <w:t xml:space="preserve"/>
      </w:r>
    </w:p>
    <w:tbl>
      <w:tblPr>
        <w:tblW w:type="dxa" w:w="9360"/>
        <w:tblBorders>
          <w:top w:val="single" w:color="007B8A" w:sz="1"/>
          <w:left w:val="single" w:color="D95F02" w:sz="8"/>
          <w:bottom w:val="single" w:color="007B8A" w:sz="1"/>
          <w:right w:val="single" w:color="007B8A"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2"/>
                <w:szCs w:val="22"/>
              </w:rPr>
              <w:t xml:space="preserve">Ignition Probability by Separation Distance</w:t>
            </w:r>
          </w:p>
        </w:tc>
      </w:tr>
      <w:tr>
        <w:tc>
          <w:tcPr>
            <w:tcBorders>
              <w:top w:val="none" w:color="FFFFFF" w:sz="0"/>
              <w:left w:val="none" w:color="FFFFFF" w:sz="0"/>
              <w:bottom w:val="none" w:color="FFFFFF" w:sz="0"/>
              <w:right w:val="none" w:color="FFFFFF" w:sz="0"/>
            </w:tcBorders>
            <w:shd w:fill="E0F4F6" w:val="clear"/>
            <w:tcMar>
              <w:top w:type="dxa" w:w="60"/>
              <w:left w:type="dxa" w:w="160"/>
              <w:bottom w:type="dxa" w:w="60"/>
              <w:right w:type="dxa" w:w="160"/>
            </w:tcMar>
          </w:tcPr>
          <w:p>
            <w:pPr>
              <w:spacing w:before="40" w:after="40"/>
            </w:pPr>
            <w:r>
              <w:rPr>
                <w:rFonts w:ascii="Arial" w:cs="Arial" w:eastAsia="Arial" w:hAnsi="Arial"/>
                <w:color w:val="444444"/>
                <w:sz w:val="21"/>
                <w:szCs w:val="21"/>
              </w:rPr>
              <w:t xml:space="preserve">Under 10 ft: ignition nearly certain under any wind condition</w:t>
            </w:r>
          </w:p>
        </w:tc>
      </w:tr>
      <w:tr>
        <w:tc>
          <w:tcPr>
            <w:tcBorders>
              <w:top w:val="none" w:color="FFFFFF" w:sz="0"/>
              <w:left w:val="none" w:color="FFFFFF" w:sz="0"/>
              <w:bottom w:val="none" w:color="FFFFFF" w:sz="0"/>
              <w:right w:val="none" w:color="FFFFFF" w:sz="0"/>
            </w:tcBorders>
            <w:shd w:fill="E0F4F6" w:val="clear"/>
            <w:tcMar>
              <w:top w:type="dxa" w:w="60"/>
              <w:left w:type="dxa" w:w="160"/>
              <w:bottom w:type="dxa" w:w="60"/>
              <w:right w:type="dxa" w:w="160"/>
            </w:tcMar>
          </w:tcPr>
          <w:p>
            <w:pPr>
              <w:spacing w:before="40" w:after="40"/>
            </w:pPr>
            <w:r>
              <w:rPr>
                <w:rFonts w:ascii="Arial" w:cs="Arial" w:eastAsia="Arial" w:hAnsi="Arial"/>
                <w:color w:val="444444"/>
                <w:sz w:val="21"/>
                <w:szCs w:val="21"/>
              </w:rPr>
              <w:t xml:space="preserve">10-30 ft: depends on materials, wind speed, ember density</w:t>
            </w:r>
          </w:p>
        </w:tc>
      </w:tr>
      <w:tr>
        <w:tc>
          <w:tcPr>
            <w:tcBorders>
              <w:top w:val="none" w:color="FFFFFF" w:sz="0"/>
              <w:left w:val="none" w:color="FFFFFF" w:sz="0"/>
              <w:bottom w:val="none" w:color="FFFFFF" w:sz="0"/>
              <w:right w:val="none" w:color="FFFFFF" w:sz="0"/>
            </w:tcBorders>
            <w:shd w:fill="E0F4F6" w:val="clear"/>
            <w:tcMar>
              <w:top w:type="dxa" w:w="60"/>
              <w:left w:type="dxa" w:w="160"/>
              <w:bottom w:type="dxa" w:w="60"/>
              <w:right w:type="dxa" w:w="160"/>
            </w:tcMar>
          </w:tcPr>
          <w:p>
            <w:pPr>
              <w:spacing w:before="40" w:after="40"/>
            </w:pPr>
            <w:r>
              <w:rPr>
                <w:rFonts w:ascii="Arial" w:cs="Arial" w:eastAsia="Arial" w:hAnsi="Arial"/>
                <w:color w:val="444444"/>
                <w:sz w:val="21"/>
                <w:szCs w:val="21"/>
              </w:rPr>
              <w:t xml:space="preserve">30-50 ft: significant risk under high wind; material-dependent</w:t>
            </w:r>
          </w:p>
        </w:tc>
      </w:tr>
      <w:tr>
        <w:tc>
          <w:tcPr>
            <w:tcBorders>
              <w:top w:val="none" w:color="FFFFFF" w:sz="0"/>
              <w:left w:val="none" w:color="FFFFFF" w:sz="0"/>
              <w:bottom w:val="none" w:color="FFFFFF" w:sz="0"/>
              <w:right w:val="none" w:color="FFFFFF" w:sz="0"/>
            </w:tcBorders>
            <w:shd w:fill="E0F4F6" w:val="clear"/>
            <w:tcMar>
              <w:top w:type="dxa" w:w="60"/>
              <w:left w:type="dxa" w:w="160"/>
              <w:bottom w:type="dxa" w:w="60"/>
              <w:right w:type="dxa" w:w="160"/>
            </w:tcMar>
          </w:tcPr>
          <w:p>
            <w:pPr>
              <w:spacing w:before="40" w:after="40"/>
            </w:pPr>
            <w:r>
              <w:rPr>
                <w:rFonts w:ascii="Arial" w:cs="Arial" w:eastAsia="Arial" w:hAnsi="Arial"/>
                <w:color w:val="444444"/>
                <w:sz w:val="21"/>
                <w:szCs w:val="21"/>
              </w:rPr>
              <w:t xml:space="preserve">Over 50 ft with cleared vegetation: risk drops substantially</w:t>
            </w:r>
          </w:p>
        </w:tc>
      </w:tr>
      <w:tr>
        <w:tc>
          <w:tcPr>
            <w:tcBorders>
              <w:top w:val="none" w:color="FFFFFF" w:sz="0"/>
              <w:left w:val="none" w:color="FFFFFF" w:sz="0"/>
              <w:bottom w:val="none" w:color="FFFFFF" w:sz="0"/>
              <w:right w:val="none" w:color="FFFFFF" w:sz="0"/>
            </w:tcBorders>
            <w:shd w:fill="E0F4F6" w:val="clear"/>
            <w:tcMar>
              <w:top w:type="dxa" w:w="60"/>
              <w:left w:type="dxa" w:w="160"/>
              <w:bottom w:type="dxa" w:w="60"/>
              <w:right w:type="dxa" w:w="160"/>
            </w:tcMar>
          </w:tcPr>
          <w:p>
            <w:pPr>
              <w:spacing w:before="40" w:after="40"/>
            </w:pPr>
            <w:r>
              <w:rPr>
                <w:rFonts w:ascii="Arial" w:cs="Arial" w:eastAsia="Arial" w:hAnsi="Arial"/>
                <w:color w:val="444444"/>
                <w:sz w:val="21"/>
                <w:szCs w:val="21"/>
              </w:rPr>
              <w:t xml:space="preserve">Basis of California defensible space regulations (CAL FIRE / PRC 4291)</w:t>
            </w:r>
          </w:p>
        </w:tc>
      </w:tr>
    </w:tbl>
    <w:p>
      <w:pPr>
        <w:spacing w:before="80" w:after="80"/>
      </w:pPr>
      <w:r>
        <w:t xml:space="preserve"/>
      </w:r>
    </w:p>
    <w:p>
      <w:pPr>
        <w:spacing w:before="80" w:after="80"/>
      </w:pPr>
      <w:r>
        <w:rPr>
          <w:rFonts w:ascii="Arial" w:cs="Arial" w:eastAsia="Arial" w:hAnsi="Arial"/>
          <w:color w:val="444444"/>
          <w:sz w:val="22"/>
          <w:szCs w:val="22"/>
        </w:rPr>
        <w:t xml:space="preserve">Pairwise distances computed between all structures within 200ft using R-tree spatial indexing. Stored with directional breakdowns (8 compass points) to capture asymmetric exposure. Computed offline, updated as footprints change.</w:t>
      </w:r>
    </w:p>
    <w:p>
      <w:pPr>
        <w:spacing w:before="160" w:after="0"/>
      </w:pPr>
      <w:r>
        <w:t xml:space="preserve"/>
      </w:r>
    </w:p>
    <w:p>
      <w:pPr>
        <w:pStyle w:val="Heading1"/>
      </w:pPr>
      <w:r>
        <w:t xml:space="preserve">4. Fire Modeling Architecture</w:t>
      </w:r>
    </w:p>
    <w:p>
      <w:pPr>
        <w:pStyle w:val="Heading2"/>
      </w:pPr>
      <w:r>
        <w:t xml:space="preserve">4.1 PyTorchFire: Server-Side Engine</w:t>
      </w:r>
    </w:p>
    <w:p>
      <w:pPr>
        <w:spacing w:before="80" w:after="80"/>
      </w:pPr>
      <w:r>
        <w:rPr>
          <w:rFonts w:ascii="Arial" w:cs="Arial" w:eastAsia="Arial" w:hAnsi="Arial"/>
          <w:color w:val="444444"/>
          <w:sz w:val="22"/>
          <w:szCs w:val="22"/>
        </w:rPr>
        <w:t xml:space="preserve">PyTorchFire (Xia and Cheng, 2025, MIT License) implements a Differentiable Cellular Automata (DCA) model. Each cell carries state (burnable / burning / burned) and a propagation probability from wind, slope, fuel, and moisture. For residential cells, propagation probability also incorporates structure separation and material risk tier — a continuous model across the WUI boundary with no hard handoff.</w:t>
      </w:r>
    </w:p>
    <w:p>
      <w:pPr>
        <w:spacing w:before="60" w:after="60"/>
      </w:pPr>
      <w:r>
        <w:t xml:space="preserve"/>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Differentiable: gradient descent updates parameters against observations in real time — self-correcting without expert re-initialization</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GPU-accelerated: millisecond inference per step; hundreds of ensemble variants run in parallel</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Generalizable: runs physics rather than pattern-matching training data; outperforms surrogates in novel conditions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MIT licensed: commercially usable, modifiable for residential WUI extension</w:t>
      </w:r>
    </w:p>
    <w:p>
      <w:pPr>
        <w:spacing w:before="80" w:after="80"/>
      </w:pPr>
      <w:r>
        <w:t xml:space="preserve"/>
      </w:r>
    </w:p>
    <w:p>
      <w:pPr>
        <w:pStyle w:val="Heading2"/>
      </w:pPr>
      <w:r>
        <w:t xml:space="preserve">4.2 WUI Boundary Handling</w:t>
      </w:r>
    </w:p>
    <w:p>
      <w:pPr>
        <w:spacing w:before="80" w:after="80"/>
      </w:pPr>
      <w:r>
        <w:rPr>
          <w:rFonts w:ascii="Arial" w:cs="Arial" w:eastAsia="Arial" w:hAnsi="Arial"/>
          <w:color w:val="444444"/>
          <w:sz w:val="22"/>
          <w:szCs w:val="22"/>
        </w:rPr>
        <w:t xml:space="preserve">Residential cells carry base map attributes that modify PyTorchFire's propagation function — no separate model, no hard handoff:</w:t>
      </w:r>
    </w:p>
    <w:p>
      <w:pPr>
        <w:spacing w:before="60" w:after="60"/>
      </w:pPr>
      <w:r>
        <w:t xml:space="preserve"/>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Fuel load substituted with building-material equivalent (wood frame = high, masonry = low)</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Propagation probability modulated by structure separation distance</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Ember spotting distance extended for high-wind conditions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Firebreak cells (roads, parking lots, defensible space) carry near-zero propagation probability</w:t>
      </w:r>
    </w:p>
    <w:p>
      <w:pPr>
        <w:spacing w:before="80" w:after="80"/>
      </w:pPr>
      <w:r>
        <w:t xml:space="preserve"/>
      </w:r>
    </w:p>
    <w:p>
      <w:pPr>
        <w:pStyle w:val="Heading2"/>
      </w:pPr>
      <w:r>
        <w:t xml:space="preserve">4.3 NVIDIA PhysicsNeMo Surrogate: On-Device Engine</w:t>
      </w:r>
    </w:p>
    <w:p>
      <w:pPr>
        <w:spacing w:before="80" w:after="80"/>
      </w:pPr>
      <w:r>
        <w:rPr>
          <w:rFonts w:ascii="Arial" w:cs="Arial" w:eastAsia="Arial" w:hAnsi="Arial"/>
          <w:color w:val="444444"/>
          <w:sz w:val="22"/>
          <w:szCs w:val="22"/>
        </w:rPr>
        <w:t xml:space="preserve">A compressed FNO/AFNO neural approximation of fire behavior trained on PyTorchFire simulations. Runs on device CPU with no GPU or connectivity — providing continuous fire display and routing between server corrections, and full operation for users in areas with no cell service and no mesh neighbors.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FNO / AFNO via NVIDIA PhysicsNeMo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Training source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PyTorchFire ensemble simulations over Beacon's regional base map</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Inference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User device CPU — no GPU or connectivity required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Updates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Weight pushes from server as surrogates are refined; fire-specific fine-tune at event onset</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Limitation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Fixed weights; drifts in out-of-distribution conditions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Compensated by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Continuous PyTorchFire corrections and frequent weight pushes when connected</w:t>
            </w:r>
          </w:p>
        </w:tc>
      </w:tr>
    </w:tbl>
    <w:p>
      <w:pPr>
        <w:spacing w:before="120" w:after="80"/>
      </w:pPr>
      <w:r>
        <w:t xml:space="preserve"/>
      </w:r>
    </w:p>
    <w:p>
      <w:pPr>
        <w:pStyle w:val="Heading2"/>
      </w:pPr>
      <w:r>
        <w:t xml:space="preserve">4.4 Regional Surrogate Pre-Training</w:t>
      </w:r>
    </w:p>
    <w:p>
      <w:pPr>
        <w:spacing w:before="80" w:after="80"/>
      </w:pPr>
      <w:r>
        <w:rPr>
          <w:rFonts w:ascii="Arial" w:cs="Arial" w:eastAsia="Arial" w:hAnsi="Arial"/>
          <w:color w:val="444444"/>
          <w:sz w:val="22"/>
          <w:szCs w:val="22"/>
        </w:rPr>
        <w:t xml:space="preserve">For each coverage region, PyTorchFire ensemble simulations are run across all plausible ignition points and a full weather scenario matrix (wind speed 5-80mph, 8 directions, dry/normal/wet fuel moisture). The resulting simulation library — thousands of scenario outputs per region — fine-tunes the regional NVIDIA surrogate via PhysicsNeMo. The surrogate encodes where fire accelerates, where it stalls, and which ignition points are highest consequence in that specific street grid. This is only possible because Beacon's base map provides the per-structure residential inputs no other platform has.</w:t>
      </w:r>
    </w:p>
    <w:p>
      <w:pPr>
        <w:spacing w:before="80" w:after="80"/>
      </w:pPr>
      <w:r>
        <w:t xml:space="preserve"/>
      </w:r>
    </w:p>
    <w:p>
      <w:pPr>
        <w:pStyle w:val="Heading2"/>
      </w:pPr>
      <w:r>
        <w:t xml:space="preserve">4.5 Outbreak-Triggered Simulation Burst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Ignition confirmed: PyTorchFire immediately runs hundreds of scenario variants anchored to actual ignition point and live conditions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Regional surrogate fine-tuned against event-specific simulations — fraction of data needed vs. full training</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Updated weights pushed to devices in affected area within minutes of ignition</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Surrogate continues updating as PyTorchFire recalibrates against incoming observations throughout the event</w:t>
      </w:r>
    </w:p>
    <w:p>
      <w:pPr>
        <w:spacing w:before="80" w:after="80"/>
      </w:pPr>
      <w:r>
        <w:t xml:space="preserve"/>
      </w:r>
    </w:p>
    <w:p>
      <w:pPr>
        <w:spacing w:before="80" w:after="80"/>
      </w:pPr>
      <w:r>
        <w:rPr>
          <w:rFonts w:ascii="Arial" w:cs="Arial" w:eastAsia="Arial" w:hAnsi="Arial"/>
          <w:color w:val="444444"/>
          <w:sz w:val="22"/>
          <w:szCs w:val="22"/>
        </w:rPr>
        <w:t xml:space="preserve">The on-device surrogate transitions from a generalized regional model to a fire-specific model within minutes — before most users know the fire has started.</w:t>
      </w:r>
    </w:p>
    <w:p>
      <w:pPr>
        <w:spacing w:before="160" w:after="0"/>
      </w:pPr>
      <w:r>
        <w:t xml:space="preserve"/>
      </w:r>
    </w:p>
    <w:p>
      <w:pPr>
        <w:pStyle w:val="Heading1"/>
      </w:pPr>
      <w:r>
        <w:t xml:space="preserve">5. Human Sensor Network</w:t>
      </w:r>
    </w:p>
    <w:p>
      <w:pPr>
        <w:spacing w:before="80" w:after="80"/>
      </w:pPr>
      <w:r>
        <w:rPr>
          <w:rFonts w:ascii="Arial" w:cs="Arial" w:eastAsia="Arial" w:hAnsi="Arial"/>
          <w:color w:val="444444"/>
          <w:sz w:val="22"/>
          <w:szCs w:val="22"/>
        </w:rPr>
        <w:t xml:space="preserve">All collection is passive — users contribute by having the app installed. No active participation required. Data transmits continuously in the background over cell or mesh.</w:t>
      </w:r>
    </w:p>
    <w:p>
      <w:pPr>
        <w:spacing w:before="80" w:after="80"/>
      </w:pPr>
      <w:r>
        <w:t xml:space="preserve"/>
      </w:r>
    </w:p>
    <w:p>
      <w:pPr>
        <w:pStyle w:val="Heading2"/>
      </w:pPr>
      <w:r>
        <w:t xml:space="preserve">5.1 Passive Sensor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Sensor</w:t>
            </w:r>
          </w:p>
        </w:tc>
        <w:tc>
          <w:tcPr>
            <w:tcW w:type="dxa" w:w="2340"/>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Data</w:t>
            </w:r>
          </w:p>
        </w:tc>
        <w:tc>
          <w:tcPr>
            <w:tcW w:type="dxa" w:w="2340"/>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Fire Relevance</w:t>
            </w:r>
          </w:p>
        </w:tc>
        <w:tc>
          <w:tcPr>
            <w:tcW w:type="dxa" w:w="2340"/>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Coverage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Barometer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Absolute pressure, trend 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Wind shift detection, fire-driven pressure gradients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iPhone 6+; most Android flagships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GPS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Location, altitude, movement</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Geospatial anchor for all readings; evacuation behavior signal</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All smartphones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Temperature / Humidity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Ambient temp, relative humidity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Vapor pressure deficit (VPD) for fuel dryness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Variable; more common on Android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Magnetometer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Magnetic field</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Wind direction proxy; smoke interference detection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All smartphones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Camera (opt-in)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Flame, ember, smoke sightings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Fire front anchoring, ember spotting, wind direction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All smartphones (user-initiated)</w:t>
            </w:r>
          </w:p>
        </w:tc>
      </w:tr>
    </w:tbl>
    <w:p>
      <w:pPr>
        <w:spacing w:before="120" w:after="80"/>
      </w:pPr>
      <w:r>
        <w:t xml:space="preserve"/>
      </w:r>
    </w:p>
    <w:p>
      <w:pPr>
        <w:pStyle w:val="Heading2"/>
      </w:pPr>
      <w:r>
        <w:t xml:space="preserve">5.2 Barometric Pressure: Wind Shift Detection</w:t>
      </w:r>
    </w:p>
    <w:p>
      <w:pPr>
        <w:spacing w:before="80" w:after="80"/>
      </w:pPr>
      <w:r>
        <w:rPr>
          <w:rFonts w:ascii="Arial" w:cs="Arial" w:eastAsia="Arial" w:hAnsi="Arial"/>
          <w:color w:val="444444"/>
          <w:sz w:val="22"/>
          <w:szCs w:val="22"/>
        </w:rPr>
        <w:t xml:space="preserve">Pressure changes propagate at the speed of sound — a wind shift is visible in the pressure field minutes before the fire front responds. Phone pressure feeds directly into PyTorchFire's wind input tensor; when the network shows a gradient shift, propagation probabilities recalculate and updated fire lines push to devices before the shift appears in HRRR or RAWS.</w:t>
      </w:r>
    </w:p>
    <w:p>
      <w:pPr>
        <w:spacing w:before="60" w:after="60"/>
      </w:pPr>
      <w:r>
        <w:t xml:space="preserve"/>
      </w:r>
    </w:p>
    <w:tbl>
      <w:tblPr>
        <w:tblW w:type="dxa" w:w="9360"/>
        <w:tblBorders>
          <w:top w:val="single" w:color="007B8A" w:sz="1"/>
          <w:left w:val="single" w:color="D95F02" w:sz="8"/>
          <w:bottom w:val="single" w:color="007B8A" w:sz="1"/>
          <w:right w:val="single" w:color="007B8A"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A4A" w:val="clear"/>
            <w:tcMar>
              <w:top w:type="dxa" w:w="80"/>
              <w:left w:type="dxa" w:w="160"/>
              <w:bottom w:type="dxa" w:w="80"/>
              <w:right w:type="dxa" w:w="160"/>
            </w:tcMar>
          </w:tcPr>
          <w:p>
            <w:r>
              <w:rPr>
                <w:rFonts w:ascii="Arial" w:cs="Arial" w:eastAsia="Arial" w:hAnsi="Arial"/>
                <w:b/>
                <w:bCs/>
                <w:color w:val="FFFFFF"/>
                <w:sz w:val="22"/>
                <w:szCs w:val="22"/>
              </w:rPr>
              <w:t xml:space="preserve">Wind Shift Lead Time by Event Type</w:t>
            </w:r>
          </w:p>
        </w:tc>
      </w:tr>
      <w:tr>
        <w:tc>
          <w:tcPr>
            <w:tcBorders>
              <w:top w:val="none" w:color="FFFFFF" w:sz="0"/>
              <w:left w:val="none" w:color="FFFFFF" w:sz="0"/>
              <w:bottom w:val="none" w:color="FFFFFF" w:sz="0"/>
              <w:right w:val="none" w:color="FFFFFF" w:sz="0"/>
            </w:tcBorders>
            <w:shd w:fill="E0F4F6" w:val="clear"/>
            <w:tcMar>
              <w:top w:type="dxa" w:w="60"/>
              <w:left w:type="dxa" w:w="160"/>
              <w:bottom w:type="dxa" w:w="60"/>
              <w:right w:type="dxa" w:w="160"/>
            </w:tcMar>
          </w:tcPr>
          <w:p>
            <w:pPr>
              <w:spacing w:before="40" w:after="40"/>
            </w:pPr>
            <w:r>
              <w:rPr>
                <w:rFonts w:ascii="Arial" w:cs="Arial" w:eastAsia="Arial" w:hAnsi="Arial"/>
                <w:color w:val="444444"/>
                <w:sz w:val="21"/>
                <w:szCs w:val="21"/>
              </w:rPr>
              <w:t xml:space="preserve">Synoptic shift (cold front, Diablo/Santa Ana): 5-20 min ahead of wind change</w:t>
            </w:r>
          </w:p>
        </w:tc>
      </w:tr>
      <w:tr>
        <w:tc>
          <w:tcPr>
            <w:tcBorders>
              <w:top w:val="none" w:color="FFFFFF" w:sz="0"/>
              <w:left w:val="none" w:color="FFFFFF" w:sz="0"/>
              <w:bottom w:val="none" w:color="FFFFFF" w:sz="0"/>
              <w:right w:val="none" w:color="FFFFFF" w:sz="0"/>
            </w:tcBorders>
            <w:shd w:fill="E0F4F6" w:val="clear"/>
            <w:tcMar>
              <w:top w:type="dxa" w:w="60"/>
              <w:left w:type="dxa" w:w="160"/>
              <w:bottom w:type="dxa" w:w="60"/>
              <w:right w:type="dxa" w:w="160"/>
            </w:tcMar>
          </w:tcPr>
          <w:p>
            <w:pPr>
              <w:spacing w:before="40" w:after="40"/>
            </w:pPr>
            <w:r>
              <w:rPr>
                <w:rFonts w:ascii="Arial" w:cs="Arial" w:eastAsia="Arial" w:hAnsi="Arial"/>
                <w:color w:val="444444"/>
                <w:sz w:val="21"/>
                <w:szCs w:val="21"/>
              </w:rPr>
              <w:t xml:space="preserve">Thermally-driven shift (sea breeze, drainage wind): 3-10 min ahead</w:t>
            </w:r>
          </w:p>
        </w:tc>
      </w:tr>
      <w:tr>
        <w:tc>
          <w:tcPr>
            <w:tcBorders>
              <w:top w:val="none" w:color="FFFFFF" w:sz="0"/>
              <w:left w:val="none" w:color="FFFFFF" w:sz="0"/>
              <w:bottom w:val="none" w:color="FFFFFF" w:sz="0"/>
              <w:right w:val="none" w:color="FFFFFF" w:sz="0"/>
            </w:tcBorders>
            <w:shd w:fill="E0F4F6" w:val="clear"/>
            <w:tcMar>
              <w:top w:type="dxa" w:w="60"/>
              <w:left w:type="dxa" w:w="160"/>
              <w:bottom w:type="dxa" w:w="60"/>
              <w:right w:type="dxa" w:w="160"/>
            </w:tcMar>
          </w:tcPr>
          <w:p>
            <w:pPr>
              <w:spacing w:before="40" w:after="40"/>
            </w:pPr>
            <w:r>
              <w:rPr>
                <w:rFonts w:ascii="Arial" w:cs="Arial" w:eastAsia="Arial" w:hAnsi="Arial"/>
                <w:color w:val="444444"/>
                <w:sz w:val="21"/>
                <w:szCs w:val="21"/>
              </w:rPr>
              <w:t xml:space="preserve">Convective column collapse (most dangerous): 1-3 min ahead</w:t>
            </w:r>
          </w:p>
        </w:tc>
      </w:tr>
      <w:tr>
        <w:tc>
          <w:tcPr>
            <w:tcBorders>
              <w:top w:val="none" w:color="FFFFFF" w:sz="0"/>
              <w:left w:val="none" w:color="FFFFFF" w:sz="0"/>
              <w:bottom w:val="none" w:color="FFFFFF" w:sz="0"/>
              <w:right w:val="none" w:color="FFFFFF" w:sz="0"/>
            </w:tcBorders>
            <w:shd w:fill="E0F4F6" w:val="clear"/>
            <w:tcMar>
              <w:top w:type="dxa" w:w="60"/>
              <w:left w:type="dxa" w:w="160"/>
              <w:bottom w:type="dxa" w:w="60"/>
              <w:right w:type="dxa" w:w="160"/>
            </w:tcMar>
          </w:tcPr>
          <w:p>
            <w:pPr>
              <w:spacing w:before="40" w:after="40"/>
            </w:pPr>
            <w:r>
              <w:rPr>
                <w:rFonts w:ascii="Arial" w:cs="Arial" w:eastAsia="Arial" w:hAnsi="Arial"/>
                <w:color w:val="444444"/>
                <w:sz w:val="21"/>
                <w:szCs w:val="21"/>
              </w:rPr>
              <w:t xml:space="preserve">RAWS (best current tool): sparse, fixed, 10-min cycle, no automated alerting</w:t>
            </w:r>
          </w:p>
        </w:tc>
      </w:tr>
      <w:tr>
        <w:tc>
          <w:tcPr>
            <w:tcBorders>
              <w:top w:val="none" w:color="FFFFFF" w:sz="0"/>
              <w:left w:val="none" w:color="FFFFFF" w:sz="0"/>
              <w:bottom w:val="none" w:color="FFFFFF" w:sz="0"/>
              <w:right w:val="none" w:color="FFFFFF" w:sz="0"/>
            </w:tcBorders>
            <w:shd w:fill="E0F4F6" w:val="clear"/>
            <w:tcMar>
              <w:top w:type="dxa" w:w="60"/>
              <w:left w:type="dxa" w:w="160"/>
              <w:bottom w:type="dxa" w:w="60"/>
              <w:right w:type="dxa" w:w="160"/>
            </w:tcMar>
          </w:tcPr>
          <w:p>
            <w:pPr>
              <w:spacing w:before="40" w:after="40"/>
            </w:pPr>
            <w:r>
              <w:rPr>
                <w:rFonts w:ascii="Arial" w:cs="Arial" w:eastAsia="Arial" w:hAnsi="Arial"/>
                <w:color w:val="444444"/>
                <w:sz w:val="21"/>
                <w:szCs w:val="21"/>
              </w:rPr>
              <w:t xml:space="preserve">Beacon: dense, mobile, crew-proximate, continuous, automated</w:t>
            </w:r>
          </w:p>
        </w:tc>
      </w:tr>
    </w:tbl>
    <w:p>
      <w:pPr>
        <w:spacing w:before="80" w:after="80"/>
      </w:pPr>
      <w:r>
        <w:t xml:space="preserve"/>
      </w:r>
    </w:p>
    <w:p>
      <w:pPr>
        <w:pStyle w:val="Heading2"/>
      </w:pPr>
      <w:r>
        <w:t xml:space="preserve">5.3 VPD from Phone Data</w:t>
      </w:r>
    </w:p>
    <w:p>
      <w:pPr>
        <w:spacing w:before="80" w:after="80"/>
      </w:pPr>
      <w:r>
        <w:rPr>
          <w:rFonts w:ascii="Arial" w:cs="Arial" w:eastAsia="Arial" w:hAnsi="Arial"/>
          <w:color w:val="444444"/>
          <w:sz w:val="22"/>
          <w:szCs w:val="22"/>
        </w:rPr>
        <w:t xml:space="preserve">Phone temperature and humidity enable continuous VPD computation across the coverage area. Crowdsourced smartphone VPD anomalies detect wildfire conditions 6-8 standard deviations above mean in the days before and during fire events — providing both predictive and real-time fuel dryness context.</w:t>
      </w:r>
    </w:p>
    <w:p>
      <w:pPr>
        <w:spacing w:before="80" w:after="80"/>
      </w:pPr>
      <w:r>
        <w:t xml:space="preserve"/>
      </w:r>
    </w:p>
    <w:p>
      <w:pPr>
        <w:pStyle w:val="Heading2"/>
      </w:pPr>
      <w:r>
        <w:t xml:space="preserve">5.4 Active User Observations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Flame sighting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GPS-tagged, with direction and intensity. Direct fire perimeter anchor for PyTorchFire calibration.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Ember observation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GPS-tagged landing distance and direction. Extends spotting parameter beyond main front.</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Smoke direction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Ground-level wind vector confirmation independent of HRRR.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Road blockage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Fire, debris, or traffic. Direct input to evacuation routing engine.</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Structure ignition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High-confidence perimeter anchor; triggers structure-to-structure spread model update.</w:t>
            </w:r>
          </w:p>
        </w:tc>
      </w:tr>
    </w:tbl>
    <w:p>
      <w:pPr>
        <w:spacing w:before="160" w:after="0"/>
      </w:pPr>
      <w:r>
        <w:t xml:space="preserve"/>
      </w:r>
    </w:p>
    <w:p>
      <w:pPr>
        <w:pStyle w:val="Heading1"/>
      </w:pPr>
      <w:r>
        <w:t xml:space="preserve">6. Wind Shift Alert System</w:t>
      </w:r>
    </w:p>
    <w:p>
      <w:pPr>
        <w:spacing w:before="80" w:after="80"/>
      </w:pPr>
      <w:r>
        <w:rPr>
          <w:rFonts w:ascii="Arial" w:cs="Arial" w:eastAsia="Arial" w:hAnsi="Arial"/>
          <w:color w:val="444444"/>
          <w:sz w:val="22"/>
          <w:szCs w:val="22"/>
        </w:rPr>
        <w:t xml:space="preserve">A life-safety capability running independently of the fire spread model. Detects pressure anomalies and issues automated alerts before wind-driven behavior changes become visible.</w:t>
      </w:r>
    </w:p>
    <w:p>
      <w:pPr>
        <w:spacing w:before="80" w:after="80"/>
      </w:pPr>
      <w:r>
        <w:t xml:space="preserve"/>
      </w:r>
    </w:p>
    <w:p>
      <w:pPr>
        <w:pStyle w:val="Heading2"/>
      </w:pPr>
      <w:r>
        <w:t xml:space="preserve">6.1 Detection Pipeline</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Phone samples pressure every 10 seconds during active event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Transmitted to server via cell or mesh: 2-30 seconds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Server computes spatial gradient across phone network; anomaly detection identifies shifts exceeding threshold across minimum phone count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Confirmation window: 10-30 seconds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Alert classified (advisory / warning / emergency) and pushed to EMS accounts, incident commanders, and affected zone users: 2-5 seconds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Total latency: ~25 seconds best case; ~90 seconds with degraded connectivity</w:t>
      </w:r>
    </w:p>
    <w:p>
      <w:pPr>
        <w:spacing w:before="80" w:after="80"/>
      </w:pPr>
      <w:r>
        <w:t xml:space="preserve"/>
      </w:r>
    </w:p>
    <w:p>
      <w:pPr>
        <w:pStyle w:val="Heading2"/>
      </w:pPr>
      <w:r>
        <w:t xml:space="preserve">6.2 Mesh Fallback</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When cell is unavailable, pressure readings relay peer-to-peer over Bluetooth mesh</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Anomaly detection runs on-device against neighboring mesh nodes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Local alert triggers without server round-trip: under 10 seconds from onset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Alerts reconciled with server-side detection on reconnection; false positives suppressed</w:t>
      </w:r>
    </w:p>
    <w:p>
      <w:pPr>
        <w:spacing w:before="80" w:after="80"/>
      </w:pPr>
      <w:r>
        <w:t xml:space="preserve"/>
      </w:r>
    </w:p>
    <w:p>
      <w:pPr>
        <w:pStyle w:val="Heading2"/>
      </w:pPr>
      <w:r>
        <w:t xml:space="preserve">6.3 Firefighter Integration</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No behavior change required from line crews — phones in pockets passively contribute to the pressure network</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EMS account holders (incident commanders, division supervisors) relay alerts over existing radio protocols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Future: direct ICS radio integration for automated relay</w:t>
      </w:r>
    </w:p>
    <w:p>
      <w:pPr>
        <w:spacing w:before="160" w:after="0"/>
      </w:pPr>
      <w:r>
        <w:t xml:space="preserve"/>
      </w:r>
    </w:p>
    <w:p>
      <w:pPr>
        <w:pStyle w:val="Heading1"/>
      </w:pPr>
      <w:r>
        <w:t xml:space="preserve">7. End-to-End Data Flow</w:t>
      </w:r>
    </w:p>
    <w:p>
      <w:pPr>
        <w:pStyle w:val="Heading3"/>
      </w:pPr>
      <w:r>
        <w:t xml:space="preserve">Pre-Event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Regional surrogates pre-trained and resident on devices for all coverage areas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PyTorchFire ensemble simulations for all ignition points run and stored</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Base map current; passive phone sensor collection running across all users</w:t>
      </w:r>
    </w:p>
    <w:p>
      <w:pPr>
        <w:spacing w:before="80" w:after="80"/>
      </w:pPr>
      <w:r>
        <w:t xml:space="preserve"/>
      </w:r>
    </w:p>
    <w:p>
      <w:pPr>
        <w:pStyle w:val="Heading3"/>
      </w:pPr>
      <w:r>
        <w:t xml:space="preserve">T+0 to T+5: Ignition</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Ignition confirmed via FIRMS, RAWS anomaly, or user report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PyTorchFire initializes; simulation burst begins; pressure detection activates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Initial routing from pre-trained regional surrogate</w:t>
      </w:r>
    </w:p>
    <w:p>
      <w:pPr>
        <w:spacing w:before="80" w:after="80"/>
      </w:pPr>
      <w:r>
        <w:t xml:space="preserve"/>
      </w:r>
    </w:p>
    <w:p>
      <w:pPr>
        <w:pStyle w:val="Heading3"/>
      </w:pPr>
      <w:r>
        <w:t xml:space="preserve">T+5 to T+30: Early Event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PyTorchFire first calibration cycle complete; fire-specific surrogate weights pushed to devices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Satellite perimeter (FIRMS/VIIRS) anchors calibration; user flame and ember reports refine front position</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Phone pressure network providing continuous wind vector corrections</w:t>
      </w:r>
    </w:p>
    <w:p>
      <w:pPr>
        <w:spacing w:before="80" w:after="80"/>
      </w:pPr>
      <w:r>
        <w:t xml:space="preserve"/>
      </w:r>
    </w:p>
    <w:p>
      <w:pPr>
        <w:pStyle w:val="Heading3"/>
      </w:pPr>
      <w:r>
        <w:t xml:space="preserve">T+30+: Active Event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PyTorchFire recalibrating continuously; updated fire lines pushed every few minutes; surrogate fills gaps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Wind shift alerts firing on pressure anomalies; routing updating on fire line changes and road blockages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All observations and outputs logged for post-event surrogate refinement</w:t>
      </w:r>
    </w:p>
    <w:p>
      <w:pPr>
        <w:spacing w:before="80" w:after="80"/>
      </w:pPr>
      <w:r>
        <w:t xml:space="preserve"/>
      </w:r>
    </w:p>
    <w:p>
      <w:pPr>
        <w:pStyle w:val="Heading3"/>
      </w:pPr>
      <w:r>
        <w:t xml:space="preserve">Post-Event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Full observation record (pressure, sightings, perimeter history) folds into regional surrogate refinement</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Updated surrogate pushed to all devices in coverage area</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Each event improves surrogate accuracy for that geography</w:t>
      </w:r>
    </w:p>
    <w:p>
      <w:pPr>
        <w:spacing w:before="160" w:after="0"/>
      </w:pPr>
      <w:r>
        <w:t xml:space="preserve"/>
      </w:r>
    </w:p>
    <w:p>
      <w:pPr>
        <w:pStyle w:val="Heading1"/>
      </w:pPr>
      <w:r>
        <w:t xml:space="preserve">8. Pre-Production Validation Strategy</w:t>
      </w:r>
    </w:p>
    <w:p>
      <w:pPr>
        <w:pStyle w:val="Heading2"/>
      </w:pPr>
      <w:r>
        <w:t xml:space="preserve">Phase 1: Algorithm Validation Without Fire</w:t>
      </w:r>
    </w:p>
    <w:p>
      <w:pPr>
        <w:spacing w:before="80" w:after="80"/>
      </w:pPr>
      <w:r>
        <w:rPr>
          <w:rFonts w:ascii="Arial" w:cs="Arial" w:eastAsia="Arial" w:hAnsi="Arial"/>
          <w:color w:val="444444"/>
          <w:sz w:val="22"/>
          <w:szCs w:val="22"/>
        </w:rPr>
        <w:t xml:space="preserve">Deploy in a coverage community during documented weather events (Diablo wind onset, sea breeze transitions, cold fronts). Compare pressure anomaly detection timing against RAWS and NWS records. Validates sensor network and detection algorithm independently of fire behavior.</w:t>
      </w:r>
    </w:p>
    <w:p>
      <w:pPr>
        <w:spacing w:before="80" w:after="80"/>
      </w:pPr>
      <w:r>
        <w:t xml:space="preserve"/>
      </w:r>
    </w:p>
    <w:p>
      <w:pPr>
        <w:pStyle w:val="Heading2"/>
      </w:pPr>
      <w:r>
        <w:t xml:space="preserve">Phase 2: Prescribed Burn Partnership</w:t>
      </w:r>
    </w:p>
    <w:p>
      <w:pPr>
        <w:spacing w:before="80" w:after="80"/>
      </w:pPr>
      <w:r>
        <w:rPr>
          <w:rFonts w:ascii="Arial" w:cs="Arial" w:eastAsia="Arial" w:hAnsi="Arial"/>
          <w:color w:val="444444"/>
          <w:sz w:val="22"/>
          <w:szCs w:val="22"/>
        </w:rPr>
        <w:t xml:space="preserve">Instrument prescribed burns with CAL FIRE or USFS partners. Collect real sensor data against known conditions and documented fire behavior. Compare:</w:t>
      </w:r>
    </w:p>
    <w:p>
      <w:pPr>
        <w:spacing w:before="60" w:after="60"/>
      </w:pPr>
      <w:r>
        <w:t xml:space="preserve"/>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Pressure detection timing against observed behavior changes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PyTorchFire spread predictions against actual perimeter progression</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Phone wind vectors against on-site anemometers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End-to-end alert latency</w:t>
      </w:r>
    </w:p>
    <w:p>
      <w:pPr>
        <w:spacing w:before="80" w:after="80"/>
      </w:pPr>
      <w:r>
        <w:t xml:space="preserve"/>
      </w:r>
    </w:p>
    <w:p>
      <w:pPr>
        <w:spacing w:before="80" w:after="80"/>
      </w:pPr>
      <w:r>
        <w:rPr>
          <w:rFonts w:ascii="Arial" w:cs="Arial" w:eastAsia="Arial" w:hAnsi="Arial"/>
          <w:color w:val="444444"/>
          <w:sz w:val="22"/>
          <w:szCs w:val="22"/>
        </w:rPr>
        <w:t xml:space="preserve">Establishes empirical lead time vs. RAWS — the primary validation claim for firefighter alerting.</w:t>
      </w:r>
    </w:p>
    <w:p>
      <w:pPr>
        <w:spacing w:before="80" w:after="80"/>
      </w:pPr>
      <w:r>
        <w:t xml:space="preserve"/>
      </w:r>
    </w:p>
    <w:p>
      <w:pPr>
        <w:pStyle w:val="Heading2"/>
      </w:pPr>
      <w:r>
        <w:t xml:space="preserve">Phase 3: Parallel Production Running</w:t>
      </w:r>
    </w:p>
    <w:p>
      <w:pPr>
        <w:spacing w:before="80" w:after="80"/>
      </w:pPr>
      <w:r>
        <w:rPr>
          <w:rFonts w:ascii="Arial" w:cs="Arial" w:eastAsia="Arial" w:hAnsi="Arial"/>
          <w:color w:val="444444"/>
          <w:sz w:val="22"/>
          <w:szCs w:val="22"/>
        </w:rPr>
        <w:t xml:space="preserve">Run Beacon alongside existing tools during real events without acting on outputs. Compare predictions against actual fire behavior and tool performance after each event. This is the standard validation pathway for aviation weather, tsunami, and earthquake early warning systems — it builds the evidence base required for agency operational integration.</w:t>
      </w:r>
    </w:p>
    <w:p>
      <w:pPr>
        <w:spacing w:before="160" w:after="0"/>
      </w:pPr>
      <w:r>
        <w:t xml:space="preserve"/>
      </w:r>
    </w:p>
    <w:p>
      <w:pPr>
        <w:pStyle w:val="Heading1"/>
      </w:pPr>
      <w:r>
        <w:t xml:space="preserve">9. Competitive Differentiation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Capability</w:t>
            </w:r>
          </w:p>
        </w:tc>
        <w:tc>
          <w:tcPr>
            <w:tcW w:type="dxa" w:w="1560"/>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Beacon</w:t>
            </w:r>
          </w:p>
        </w:tc>
        <w:tc>
          <w:tcPr>
            <w:tcW w:type="dxa" w:w="1560"/>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Watch Duty</w:t>
            </w:r>
          </w:p>
        </w:tc>
        <w:tc>
          <w:tcPr>
            <w:tcW w:type="dxa" w:w="1560"/>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Technosylva</w:t>
            </w:r>
          </w:p>
        </w:tc>
        <w:tc>
          <w:tcPr>
            <w:tcW w:type="dxa" w:w="1560"/>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ZoneHaven</w:t>
            </w:r>
          </w:p>
        </w:tc>
        <w:tc>
          <w:tcPr>
            <w:tcW w:type="dxa" w:w="1560"/>
            <w:tcBorders>
              <w:top w:val="single" w:color="007B8A" w:sz="1"/>
              <w:left w:val="single" w:color="007B8A" w:sz="1"/>
              <w:bottom w:val="single" w:color="007B8A" w:sz="1"/>
              <w:right w:val="single" w:color="007B8A" w:sz="1"/>
            </w:tcBorders>
            <w:shd w:fill="1B2A4A"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WIFIRE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Residential structure spread model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Yes — separation, materials, topology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On-device offline fire display</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Yes — NVIDIA surrogate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Partial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Real-time phone sensor integration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Yes — pressure, temp, humidity, GPS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Wind shift alerting (&lt;90 sec)</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Yes — automated, pressure-based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User observation integration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Yes — flame, ember, smoke, road blockage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Partial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Regional surrogate pre-training</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Yes — per-neighborhood, base map trained</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Partial</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Dynamic evacuation routing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Yes — fire-aware, real-time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Zone-based only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0"/>
                <w:szCs w:val="20"/>
              </w:rPr>
              <w:t xml:space="preserve">No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Mesh network fallback</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Yes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0"/>
                <w:szCs w:val="20"/>
              </w:rPr>
              <w:t xml:space="preserve">No</w:t>
            </w:r>
          </w:p>
        </w:tc>
      </w:tr>
    </w:tbl>
    <w:p>
      <w:pPr>
        <w:spacing w:before="160" w:after="0"/>
      </w:pPr>
      <w:r>
        <w:t xml:space="preserve"/>
      </w:r>
    </w:p>
    <w:p>
      <w:pPr>
        <w:pStyle w:val="Heading1"/>
      </w:pPr>
      <w:r>
        <w:t xml:space="preserve">10. Strategic Partnerships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NVIDIA Inception / PhysicsNeMo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Beacon positions NVIDIA's surrogate as the on-device component of a novel life-safety application. NVIDIA actively seeks applied wildfire deployments for PhysicsNeMo. Partnership pathway: engineering support, GPU compute subsidy, co-marketing for EMS procurement.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CAL FIRE / USFS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Phase 2 prescribed burn instrumentation. Provides empirical validation data and establishes agency relationships for future operational integration.</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PyTorchFire Authors (Xia and Cheng)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MIT-licensed with active academic development. Research collaboration on residential WUI extensions; co-authorship on validation publications.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County Assessor / Parcel Providers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Building materials, age, and construction data for residential fuel inputs. Some counties publish openly; others require data sharing agreements.</w:t>
            </w:r>
          </w:p>
        </w:tc>
      </w:tr>
    </w:tbl>
    <w:p>
      <w:pPr>
        <w:spacing w:before="160" w:after="0"/>
      </w:pPr>
      <w:r>
        <w:t xml:space="preserve"/>
      </w:r>
    </w:p>
    <w:p>
      <w:pPr>
        <w:pStyle w:val="Heading1"/>
      </w:pPr>
      <w:r>
        <w:t xml:space="preserve">11. Known Limitations</w:t>
      </w:r>
    </w:p>
    <w:p>
      <w:pPr>
        <w:spacing w:before="60" w:after="60"/>
      </w:pPr>
      <w:r>
        <w:t xml:space="preserve"/>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PyTorchFire CA physics are simpler than CFD structure fire models. Real-time calibration partially compensates but the residential model is a high-quality approximation, not first-principles simulation.</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Barometer coverage: strong on iOS (iPhone 6+), variable by Android manufacturer. Affects sensor network density assumptions.</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Convective collapse detection provides 1-3 min lead time — better than zero but tight. Requires ongoing validation.</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Surrogate quality depends on base map completeness. Gaps in footprint data, assessor records, or separation calculations degrade accuracy.</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Outbreak fine-tuning cycle estimated under 10 minutes with appropriate GPU infrastructure. Needs empirical validation at scale.</w:t>
      </w:r>
    </w:p>
    <w:p>
      <w:pPr>
        <w:pStyle w:val="ListParagraph"/>
        <w:numPr>
          <w:ilvl w:val="0"/>
          <w:numId w:val="2"/>
        </w:numPr>
        <w:spacing w:before="60" w:after="60"/>
        <w:ind w:left="720" w:hanging="360"/>
      </w:pPr>
      <w:r>
        <w:rPr>
          <w:rFonts w:ascii="Arial" w:cs="Arial" w:eastAsia="Arial" w:hAnsi="Arial"/>
          <w:b w:val="false"/>
          <w:bCs w:val="false"/>
          <w:color w:val="444444"/>
          <w:sz w:val="22"/>
          <w:szCs w:val="22"/>
        </w:rPr>
        <w:t xml:space="preserve">ICS radio integration is a future item. Initial deployment relies on EMS account holders relaying alerts through existing channels.</w:t>
      </w:r>
    </w:p>
    <w:p>
      <w:pPr>
        <w:spacing w:before="160" w:after="0"/>
      </w:pPr>
      <w:r>
        <w:t xml:space="preserve"/>
      </w:r>
    </w:p>
    <w:p>
      <w:pPr>
        <w:pStyle w:val="Heading1"/>
      </w:pPr>
      <w:r>
        <w:t xml:space="preserve">12. Document Information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Document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Beacon: Residential Wildfire Spread Modeling — System Architecture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Version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1.0</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Author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Mathison Technologies, Inc.</w:t>
            </w:r>
          </w:p>
        </w:tc>
      </w:tr>
      <w:tr>
        <w:tc>
          <w:tcPr>
            <w:tcW w:type="dxa" w:w="3000"/>
            <w:tcBorders>
              <w:top w:val="single" w:color="CCCCCC" w:sz="1"/>
              <w:left w:val="single" w:color="CCCCCC" w:sz="1"/>
              <w:bottom w:val="single" w:color="CCCCCC" w:sz="1"/>
              <w:right w:val="single" w:color="CCCCCC" w:sz="1"/>
            </w:tcBorders>
            <w:shd w:fill="E0F4F6" w:val="clear"/>
            <w:tcMar>
              <w:top w:type="dxa" w:w="80"/>
              <w:left w:type="dxa" w:w="120"/>
              <w:bottom w:type="dxa" w:w="80"/>
              <w:right w:type="dxa" w:w="120"/>
            </w:tcMar>
          </w:tcPr>
          <w:p>
            <w:r>
              <w:rPr>
                <w:rFonts w:ascii="Arial" w:cs="Arial" w:eastAsia="Arial" w:hAnsi="Arial"/>
                <w:b/>
                <w:bCs/>
                <w:color w:val="1B2A4A"/>
                <w:sz w:val="21"/>
                <w:szCs w:val="21"/>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4"/>
                <w:sz w:val="21"/>
                <w:szCs w:val="21"/>
              </w:rPr>
              <w:t xml:space="preserve">Confidential &amp; Proprietary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2A4A"/>
                <w:sz w:val="21"/>
                <w:szCs w:val="21"/>
              </w:rPr>
              <w:t xml:space="preserve">Primary References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44444"/>
                <w:sz w:val="21"/>
                <w:szCs w:val="21"/>
              </w:rPr>
              <w:t xml:space="preserve">Xia and Cheng (2025) PyTorchFire, Environmental Modelling &amp; Software; NVIDIA PhysicsNeMo Documentation; Alexandridis et al. (2008) CA wildfire model; NHESS smartphone VPD wildfire study (2024)</w:t>
            </w:r>
          </w:p>
        </w:tc>
      </w:tr>
    </w:tbl>
    <w:p>
      <w:pPr>
        <w:spacing w:before="160" w:after="0"/>
      </w:pPr>
      <w:r>
        <w:t xml:space="preserve"/>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B8A" w:sz="4"/>
      </w:pBdr>
      <w:tabs>
        <w:tab w:val="right" w:pos="9026"/>
      </w:tabs>
      <w:spacing w:before="80"/>
    </w:pPr>
    <w:r>
      <w:rPr>
        <w:rFonts w:ascii="Arial" w:cs="Arial" w:eastAsia="Arial" w:hAnsi="Arial"/>
        <w:color w:val="444444"/>
        <w:sz w:val="16"/>
        <w:szCs w:val="16"/>
      </w:rPr>
      <w:t xml:space="preserve">Mathison Technologies  |  Confidential</w:t>
    </w:r>
    <w:r>
      <w:rPr>
        <w:rFonts w:ascii="Arial" w:cs="Arial" w:eastAsia="Arial" w:hAnsi="Arial"/>
        <w:sz w:val="16"/>
        <w:szCs w:val="16"/>
      </w:rPr>
      <w:t xml:space="preserve">	</w:t>
    </w:r>
    <w:r>
      <w:rPr>
        <w:rFonts w:ascii="Arial" w:cs="Arial" w:eastAsia="Arial" w:hAnsi="Arial"/>
        <w:color w:val="444444"/>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B8A" w:sz="4"/>
      </w:pBdr>
      <w:spacing w:after="0"/>
    </w:pPr>
    <w:r>
      <w:rPr>
        <w:rFonts w:ascii="Arial" w:cs="Arial" w:eastAsia="Arial" w:hAnsi="Arial"/>
        <w:b/>
        <w:bCs/>
        <w:color w:val="007B8A"/>
        <w:sz w:val="18"/>
        <w:szCs w:val="18"/>
      </w:rPr>
      <w:t xml:space="preserve">BEACON</w:t>
    </w:r>
    <w:r>
      <w:rPr>
        <w:rFonts w:ascii="Arial" w:cs="Arial" w:eastAsia="Arial" w:hAnsi="Arial"/>
        <w:color w:val="444444"/>
        <w:sz w:val="18"/>
        <w:szCs w:val="18"/>
      </w:rPr>
      <w:t xml:space="preserve">  |  Residential Wildfire Spread Modeling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07B8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2026-03-12T21:02:24.828Z</dcterms:created>
  <dcterms:modified xsi:type="dcterms:W3CDTF">2026-03-12T21:02:24.829Z</dcterms:modified>
</cp:coreProperties>
</file>

<file path=docProps/custom.xml><?xml version="1.0" encoding="utf-8"?>
<Properties xmlns="http://schemas.openxmlformats.org/officeDocument/2006/custom-properties" xmlns:vt="http://schemas.openxmlformats.org/officeDocument/2006/docPropsVTypes"/>
</file>